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8D" w:rsidRPr="00E244C4" w:rsidRDefault="002F128D" w:rsidP="002F128D">
      <w:pPr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DIREKTIVA VIJEĆA 2009/71/EURATOM od 25. juna 2009. o uspostav</w:t>
      </w:r>
      <w:r w:rsidR="00D2239B" w:rsidRPr="00E244C4">
        <w:rPr>
          <w:rFonts w:eastAsia="Times New Roman" w:cs="Times New Roman"/>
          <w:szCs w:val="20"/>
          <w:lang w:val="hr-HR" w:eastAsia="en-GB"/>
        </w:rPr>
        <w:t>ljanju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okvira Zajednice za nuklearnu sigurnost nuklearnih objekata (</w:t>
      </w:r>
      <w:r w:rsidRPr="00E244C4">
        <w:rPr>
          <w:szCs w:val="20"/>
          <w:lang w:val="hr-HR"/>
        </w:rPr>
        <w:t>„</w:t>
      </w:r>
      <w:r w:rsidRPr="00E244C4">
        <w:rPr>
          <w:rFonts w:eastAsia="Times New Roman" w:cs="Times New Roman"/>
          <w:szCs w:val="20"/>
          <w:lang w:val="hr-HR" w:eastAsia="en-GB"/>
        </w:rPr>
        <w:t>Službeni list EU</w:t>
      </w:r>
      <w:r w:rsidRPr="00E244C4">
        <w:rPr>
          <w:szCs w:val="20"/>
          <w:lang w:val="hr-HR"/>
        </w:rPr>
        <w:t>”</w:t>
      </w:r>
      <w:r w:rsidRPr="00E244C4">
        <w:rPr>
          <w:rFonts w:eastAsia="Times New Roman" w:cs="Times New Roman"/>
          <w:szCs w:val="20"/>
          <w:lang w:val="hr-HR" w:eastAsia="en-GB"/>
        </w:rPr>
        <w:t>, broj L 172, 2.7.2009., str. 18)</w:t>
      </w:r>
    </w:p>
    <w:p w:rsidR="00371F52" w:rsidRPr="00E244C4" w:rsidRDefault="00371F52" w:rsidP="005270DE">
      <w:pPr>
        <w:rPr>
          <w:rFonts w:eastAsia="Times New Roman" w:cs="Times New Roman"/>
          <w:vanish/>
          <w:szCs w:val="20"/>
          <w:lang w:val="hr-HR" w:eastAsia="en-GB"/>
        </w:rPr>
      </w:pPr>
    </w:p>
    <w:p w:rsidR="002F128D" w:rsidRPr="00E244C4" w:rsidRDefault="002F128D" w:rsidP="002F128D">
      <w:pPr>
        <w:tabs>
          <w:tab w:val="left" w:pos="614"/>
        </w:tabs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 </w:t>
      </w:r>
    </w:p>
    <w:p w:rsidR="002F128D" w:rsidRPr="00E244C4" w:rsidRDefault="002F128D" w:rsidP="002F128D">
      <w:pPr>
        <w:tabs>
          <w:tab w:val="left" w:pos="614"/>
        </w:tabs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izmijenjena i dopunjena</w:t>
      </w:r>
    </w:p>
    <w:p w:rsidR="002F128D" w:rsidRPr="00E244C4" w:rsidRDefault="002F128D" w:rsidP="002F128D">
      <w:pPr>
        <w:tabs>
          <w:tab w:val="left" w:pos="614"/>
        </w:tabs>
        <w:rPr>
          <w:rFonts w:eastAsia="Times New Roman" w:cs="Times New Roman"/>
          <w:szCs w:val="20"/>
          <w:lang w:val="hr-HR" w:eastAsia="en-GB"/>
        </w:rPr>
      </w:pPr>
    </w:p>
    <w:p w:rsidR="002F128D" w:rsidRPr="00E244C4" w:rsidRDefault="002F128D" w:rsidP="002F128D">
      <w:pPr>
        <w:tabs>
          <w:tab w:val="left" w:pos="614"/>
        </w:tabs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Direktivom Vijeća 2014/87/EURATOM od 8. jula 2014. (</w:t>
      </w:r>
      <w:r w:rsidRPr="00E244C4">
        <w:rPr>
          <w:szCs w:val="20"/>
          <w:lang w:val="hr-HR"/>
        </w:rPr>
        <w:t>„</w:t>
      </w:r>
      <w:r w:rsidRPr="00E244C4">
        <w:rPr>
          <w:rFonts w:eastAsia="Times New Roman" w:cs="Times New Roman"/>
          <w:szCs w:val="20"/>
          <w:lang w:val="hr-HR" w:eastAsia="en-GB"/>
        </w:rPr>
        <w:t>Službeni list EU</w:t>
      </w:r>
      <w:r w:rsidRPr="00E244C4">
        <w:rPr>
          <w:szCs w:val="20"/>
          <w:lang w:val="hr-HR"/>
        </w:rPr>
        <w:t>”</w:t>
      </w:r>
      <w:r w:rsidRPr="00E244C4">
        <w:rPr>
          <w:rFonts w:eastAsia="Times New Roman" w:cs="Times New Roman"/>
          <w:szCs w:val="20"/>
          <w:lang w:val="hr-HR" w:eastAsia="en-GB"/>
        </w:rPr>
        <w:t xml:space="preserve">, broj L 219, </w:t>
      </w:r>
      <w:r w:rsidRPr="00E244C4">
        <w:rPr>
          <w:rFonts w:eastAsia="Times New Roman" w:cs="Verdana"/>
          <w:szCs w:val="20"/>
          <w:lang w:val="hr-HR" w:eastAsia="en-GB"/>
        </w:rPr>
        <w:t xml:space="preserve">25.7.2014., </w:t>
      </w:r>
      <w:r w:rsidRPr="00E244C4">
        <w:rPr>
          <w:rFonts w:eastAsia="Times New Roman" w:cs="Times New Roman"/>
          <w:szCs w:val="20"/>
          <w:lang w:val="hr-HR" w:eastAsia="en-GB"/>
        </w:rPr>
        <w:t>str. 42)</w:t>
      </w:r>
    </w:p>
    <w:p w:rsidR="00371F52" w:rsidRPr="00E244C4" w:rsidRDefault="00371F52" w:rsidP="005270DE">
      <w:pPr>
        <w:rPr>
          <w:rFonts w:eastAsia="Times New Roman" w:cs="Times New Roman"/>
          <w:szCs w:val="20"/>
          <w:lang w:val="hr-HR" w:eastAsia="en-GB"/>
        </w:rPr>
      </w:pPr>
    </w:p>
    <w:p w:rsidR="002F128D" w:rsidRPr="00E244C4" w:rsidRDefault="002F128D" w:rsidP="005270DE">
      <w:pPr>
        <w:pStyle w:val="BodyText"/>
        <w:ind w:left="0"/>
        <w:jc w:val="center"/>
        <w:rPr>
          <w:rFonts w:ascii="Verdana" w:hAnsi="Verdana"/>
          <w:b/>
          <w:sz w:val="20"/>
          <w:szCs w:val="20"/>
          <w:lang w:val="hr-HR"/>
        </w:rPr>
      </w:pPr>
    </w:p>
    <w:p w:rsidR="00371F52" w:rsidRPr="00E244C4" w:rsidRDefault="00371F52" w:rsidP="005270DE">
      <w:pPr>
        <w:pStyle w:val="BodyText"/>
        <w:ind w:left="0"/>
        <w:jc w:val="center"/>
        <w:rPr>
          <w:rFonts w:ascii="Verdana" w:hAnsi="Verdana"/>
          <w:b/>
          <w:sz w:val="20"/>
          <w:szCs w:val="20"/>
          <w:lang w:val="hr-HR"/>
        </w:rPr>
      </w:pPr>
      <w:r w:rsidRPr="00E244C4">
        <w:rPr>
          <w:rFonts w:ascii="Verdana" w:hAnsi="Verdana"/>
          <w:b/>
          <w:sz w:val="20"/>
          <w:szCs w:val="20"/>
          <w:lang w:val="hr-HR"/>
        </w:rPr>
        <w:t>DIREKTIVA VIJEĆA 2009/71/EURATOM</w:t>
      </w:r>
    </w:p>
    <w:p w:rsidR="00371F52" w:rsidRPr="00E244C4" w:rsidRDefault="00371F52" w:rsidP="005270DE">
      <w:pPr>
        <w:pStyle w:val="BodyText"/>
        <w:ind w:left="0"/>
        <w:jc w:val="center"/>
        <w:rPr>
          <w:rFonts w:ascii="Verdana" w:hAnsi="Verdana"/>
          <w:b/>
          <w:sz w:val="20"/>
          <w:szCs w:val="20"/>
          <w:lang w:val="hr-HR"/>
        </w:rPr>
      </w:pPr>
      <w:r w:rsidRPr="00E244C4">
        <w:rPr>
          <w:rFonts w:ascii="Verdana" w:hAnsi="Verdana"/>
          <w:b/>
          <w:sz w:val="20"/>
          <w:szCs w:val="20"/>
          <w:lang w:val="hr-HR"/>
        </w:rPr>
        <w:t xml:space="preserve">od 25. </w:t>
      </w:r>
      <w:r w:rsidR="002F128D" w:rsidRPr="00E244C4">
        <w:rPr>
          <w:rFonts w:ascii="Verdana" w:hAnsi="Verdana"/>
          <w:b/>
          <w:sz w:val="20"/>
          <w:szCs w:val="20"/>
          <w:lang w:val="hr-HR"/>
        </w:rPr>
        <w:t>juna</w:t>
      </w:r>
      <w:r w:rsidRPr="00E244C4">
        <w:rPr>
          <w:rFonts w:ascii="Verdana" w:hAnsi="Verdana"/>
          <w:b/>
          <w:sz w:val="20"/>
          <w:szCs w:val="20"/>
          <w:lang w:val="hr-HR"/>
        </w:rPr>
        <w:t xml:space="preserve"> 2009.</w:t>
      </w:r>
    </w:p>
    <w:p w:rsidR="00371F52" w:rsidRPr="00E244C4" w:rsidRDefault="00371F52" w:rsidP="005270DE">
      <w:pPr>
        <w:pStyle w:val="BodyText"/>
        <w:ind w:left="0"/>
        <w:jc w:val="center"/>
        <w:rPr>
          <w:rFonts w:ascii="Verdana" w:hAnsi="Verdana"/>
          <w:b/>
          <w:sz w:val="20"/>
          <w:szCs w:val="20"/>
          <w:lang w:val="hr-HR"/>
        </w:rPr>
      </w:pPr>
      <w:r w:rsidRPr="00E244C4">
        <w:rPr>
          <w:rFonts w:ascii="Verdana" w:hAnsi="Verdana"/>
          <w:b/>
          <w:sz w:val="20"/>
          <w:szCs w:val="20"/>
          <w:lang w:val="hr-HR"/>
        </w:rPr>
        <w:t>o uspostav</w:t>
      </w:r>
      <w:r w:rsidR="00D2239B" w:rsidRPr="00E244C4">
        <w:rPr>
          <w:rFonts w:ascii="Verdana" w:hAnsi="Verdana"/>
          <w:b/>
          <w:sz w:val="20"/>
          <w:szCs w:val="20"/>
          <w:lang w:val="hr-HR"/>
        </w:rPr>
        <w:t>ljanju</w:t>
      </w:r>
      <w:r w:rsidRPr="00E244C4">
        <w:rPr>
          <w:rFonts w:ascii="Verdana" w:hAnsi="Verdana"/>
          <w:b/>
          <w:sz w:val="20"/>
          <w:szCs w:val="20"/>
          <w:lang w:val="hr-HR"/>
        </w:rPr>
        <w:t xml:space="preserve"> okvira Zajednice za nuklearnu sigurnost nuklearnih </w:t>
      </w:r>
      <w:r w:rsidR="00DA0099" w:rsidRPr="00E244C4">
        <w:rPr>
          <w:rFonts w:ascii="Verdana" w:hAnsi="Verdana"/>
          <w:b/>
          <w:sz w:val="20"/>
          <w:szCs w:val="20"/>
          <w:lang w:val="hr-HR"/>
        </w:rPr>
        <w:t>objekata</w:t>
      </w:r>
    </w:p>
    <w:p w:rsidR="00371F52" w:rsidRPr="00E244C4" w:rsidRDefault="00371F52" w:rsidP="005270DE">
      <w:pPr>
        <w:rPr>
          <w:rFonts w:eastAsia="Times New Roman" w:cs="Times New Roman"/>
          <w:szCs w:val="20"/>
          <w:lang w:val="hr-HR" w:eastAsia="en-GB"/>
        </w:rPr>
      </w:pPr>
    </w:p>
    <w:p w:rsidR="00FF5138" w:rsidRPr="00E244C4" w:rsidRDefault="00FF5138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5270DE">
      <w:pPr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VIJEĆE E</w:t>
      </w:r>
      <w:r w:rsidR="002F128D" w:rsidRPr="00E244C4">
        <w:rPr>
          <w:rFonts w:eastAsia="Times New Roman" w:cs="Times New Roman"/>
          <w:szCs w:val="20"/>
          <w:lang w:val="hr-HR" w:eastAsia="en-GB"/>
        </w:rPr>
        <w:t>V</w:t>
      </w:r>
      <w:r w:rsidRPr="00E244C4">
        <w:rPr>
          <w:rFonts w:eastAsia="Times New Roman" w:cs="Times New Roman"/>
          <w:szCs w:val="20"/>
          <w:lang w:val="hr-HR" w:eastAsia="en-GB"/>
        </w:rPr>
        <w:t>ROPSKE UNIJE,</w:t>
      </w:r>
    </w:p>
    <w:p w:rsidR="00306B3E" w:rsidRPr="00E244C4" w:rsidRDefault="00306B3E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FF5138" w:rsidP="00FF5138">
      <w:pPr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U</w:t>
      </w:r>
      <w:r w:rsidR="00371F52" w:rsidRPr="00E244C4">
        <w:rPr>
          <w:rFonts w:eastAsia="Times New Roman" w:cs="Times New Roman"/>
          <w:szCs w:val="20"/>
          <w:lang w:val="hr-HR" w:eastAsia="en-GB"/>
        </w:rPr>
        <w:t>zimajući u obzir Ugovor o osnivanju E</w:t>
      </w:r>
      <w:r w:rsidR="00306B3E" w:rsidRPr="00E244C4">
        <w:rPr>
          <w:rFonts w:eastAsia="Times New Roman" w:cs="Times New Roman"/>
          <w:szCs w:val="20"/>
          <w:lang w:val="hr-HR" w:eastAsia="en-GB"/>
        </w:rPr>
        <w:t>v</w:t>
      </w:r>
      <w:r w:rsidR="00371F52" w:rsidRPr="00E244C4">
        <w:rPr>
          <w:rFonts w:eastAsia="Times New Roman" w:cs="Times New Roman"/>
          <w:szCs w:val="20"/>
          <w:lang w:val="hr-HR" w:eastAsia="en-GB"/>
        </w:rPr>
        <w:t>ropske zajednice za atomsku energiju, 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371F52" w:rsidRPr="00E244C4">
        <w:rPr>
          <w:rFonts w:eastAsia="Times New Roman" w:cs="Times New Roman"/>
          <w:szCs w:val="20"/>
          <w:lang w:val="hr-HR" w:eastAsia="en-GB"/>
        </w:rPr>
        <w:t>posebno njegove član</w:t>
      </w:r>
      <w:r w:rsidR="00306B3E" w:rsidRPr="00E244C4">
        <w:rPr>
          <w:rFonts w:eastAsia="Times New Roman" w:cs="Times New Roman"/>
          <w:szCs w:val="20"/>
          <w:lang w:val="hr-HR" w:eastAsia="en-GB"/>
        </w:rPr>
        <w:t>ove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31 i 32,</w:t>
      </w:r>
    </w:p>
    <w:p w:rsidR="00306B3E" w:rsidRPr="00E244C4" w:rsidRDefault="00306B3E" w:rsidP="005270DE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FF5138" w:rsidP="005270DE">
      <w:pPr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color w:val="1A171C"/>
          <w:szCs w:val="20"/>
          <w:lang w:val="hr-HR"/>
        </w:rPr>
        <w:t xml:space="preserve">Uzimajući u obzir prijedlog Komisije, sačinjen nakon pribavljanja mišljenja grupe koju je imenovao Naučno-tehnički komitet iz reda naučnih stručnjaka država članica </w:t>
      </w:r>
      <w:r w:rsidRPr="00E244C4">
        <w:rPr>
          <w:szCs w:val="20"/>
          <w:lang w:val="hr-HR"/>
        </w:rPr>
        <w:t>u skladu s</w:t>
      </w:r>
      <w:r w:rsidR="00D2239B" w:rsidRPr="00E244C4">
        <w:rPr>
          <w:szCs w:val="20"/>
          <w:lang w:val="hr-HR"/>
        </w:rPr>
        <w:t>a</w:t>
      </w:r>
      <w:r w:rsidRPr="00E244C4">
        <w:rPr>
          <w:szCs w:val="20"/>
          <w:lang w:val="hr-HR"/>
        </w:rPr>
        <w:t xml:space="preserve"> članom 31 Ugovora</w:t>
      </w:r>
      <w:r w:rsidRPr="00E244C4">
        <w:rPr>
          <w:color w:val="1A171C"/>
          <w:szCs w:val="20"/>
          <w:lang w:val="hr-HR"/>
        </w:rPr>
        <w:t>, te nakon konsultovanja sa Evropskim ekonomsko-socijalnim komitetom</w:t>
      </w:r>
      <w:r w:rsidR="00B84671" w:rsidRPr="00E244C4">
        <w:rPr>
          <w:rStyle w:val="FootnoteReference"/>
          <w:rFonts w:eastAsia="Times New Roman" w:cs="Times New Roman"/>
          <w:szCs w:val="20"/>
          <w:lang w:val="hr-HR" w:eastAsia="en-GB"/>
        </w:rPr>
        <w:footnoteReference w:id="1"/>
      </w:r>
      <w:r w:rsidR="00371F52" w:rsidRPr="00E244C4">
        <w:rPr>
          <w:rFonts w:eastAsia="Times New Roman" w:cs="Times New Roman"/>
          <w:szCs w:val="20"/>
          <w:lang w:val="hr-HR" w:eastAsia="en-GB"/>
        </w:rPr>
        <w:t>,</w:t>
      </w:r>
    </w:p>
    <w:p w:rsidR="00306B3E" w:rsidRPr="00E244C4" w:rsidRDefault="00306B3E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FF5138" w:rsidP="005270DE">
      <w:pPr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U</w:t>
      </w:r>
      <w:r w:rsidR="00371F52" w:rsidRPr="00E244C4">
        <w:rPr>
          <w:rFonts w:eastAsia="Times New Roman" w:cs="Times New Roman"/>
          <w:szCs w:val="20"/>
          <w:lang w:val="hr-HR" w:eastAsia="en-GB"/>
        </w:rPr>
        <w:t>zimajući u obzir mišljenje E</w:t>
      </w:r>
      <w:r w:rsidR="00145E16" w:rsidRPr="00E244C4">
        <w:rPr>
          <w:rFonts w:eastAsia="Times New Roman" w:cs="Times New Roman"/>
          <w:szCs w:val="20"/>
          <w:lang w:val="hr-HR" w:eastAsia="en-GB"/>
        </w:rPr>
        <w:t>v</w:t>
      </w:r>
      <w:r w:rsidR="00371F52" w:rsidRPr="00E244C4">
        <w:rPr>
          <w:rFonts w:eastAsia="Times New Roman" w:cs="Times New Roman"/>
          <w:szCs w:val="20"/>
          <w:lang w:val="hr-HR" w:eastAsia="en-GB"/>
        </w:rPr>
        <w:t>ropskog parlamenta</w:t>
      </w:r>
      <w:r w:rsidR="00B84671" w:rsidRPr="00E244C4">
        <w:rPr>
          <w:rStyle w:val="FootnoteReference"/>
          <w:rFonts w:eastAsia="Times New Roman" w:cs="Times New Roman"/>
          <w:szCs w:val="20"/>
          <w:lang w:val="hr-HR" w:eastAsia="en-GB"/>
        </w:rPr>
        <w:footnoteReference w:id="2"/>
      </w:r>
      <w:r w:rsidR="00371F52" w:rsidRPr="00E244C4">
        <w:rPr>
          <w:rFonts w:eastAsia="Times New Roman" w:cs="Times New Roman"/>
          <w:szCs w:val="20"/>
          <w:lang w:val="hr-HR" w:eastAsia="en-GB"/>
        </w:rPr>
        <w:t>,</w:t>
      </w:r>
    </w:p>
    <w:p w:rsidR="00306B3E" w:rsidRPr="00E244C4" w:rsidRDefault="00306B3E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FF5138" w:rsidP="005270DE">
      <w:pPr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B</w:t>
      </w:r>
      <w:r w:rsidR="00371F52" w:rsidRPr="00E244C4">
        <w:rPr>
          <w:rFonts w:eastAsia="Times New Roman" w:cs="Times New Roman"/>
          <w:szCs w:val="20"/>
          <w:lang w:val="hr-HR" w:eastAsia="en-GB"/>
        </w:rPr>
        <w:t>udući da:</w:t>
      </w:r>
    </w:p>
    <w:p w:rsidR="00145E16" w:rsidRPr="00E244C4" w:rsidRDefault="00145E16" w:rsidP="005270DE">
      <w:pPr>
        <w:rPr>
          <w:rFonts w:eastAsia="Times New Roman" w:cs="Times New Roman"/>
          <w:szCs w:val="20"/>
          <w:lang w:val="hr-HR" w:eastAsia="en-GB"/>
        </w:rPr>
      </w:pPr>
    </w:p>
    <w:p w:rsidR="00145E16" w:rsidRPr="00E244C4" w:rsidRDefault="00145E16" w:rsidP="00DA0099">
      <w:pPr>
        <w:pStyle w:val="BodyText"/>
        <w:numPr>
          <w:ilvl w:val="0"/>
          <w:numId w:val="33"/>
        </w:numPr>
        <w:ind w:left="567" w:hanging="567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Član 2 stav (b) Ugovora predviđa uspostav</w:t>
      </w:r>
      <w:r w:rsidR="00D2239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ljanje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="00E244C4" w:rsidRPr="00E244C4">
        <w:rPr>
          <w:rFonts w:ascii="Verdana" w:eastAsia="Cambria" w:hAnsi="Verdana"/>
          <w:color w:val="1A171C"/>
          <w:sz w:val="20"/>
          <w:szCs w:val="20"/>
          <w:lang w:val="hr-HR"/>
        </w:rPr>
        <w:t>jedinstvenih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sigurnosnih </w:t>
      </w:r>
      <w:r w:rsidR="00F61C0A" w:rsidRPr="00E244C4">
        <w:rPr>
          <w:rFonts w:ascii="Verdana" w:eastAsia="Cambria" w:hAnsi="Verdana"/>
          <w:color w:val="1A171C"/>
          <w:sz w:val="20"/>
          <w:szCs w:val="20"/>
          <w:lang w:val="hr-HR"/>
        </w:rPr>
        <w:t>standarda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="00F61C0A" w:rsidRPr="00E244C4">
        <w:rPr>
          <w:rFonts w:ascii="Verdana" w:eastAsia="Cambria" w:hAnsi="Verdana"/>
          <w:color w:val="1A171C"/>
          <w:sz w:val="20"/>
          <w:szCs w:val="20"/>
          <w:lang w:val="hr-HR"/>
        </w:rPr>
        <w:t>u cilju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zaštite zdravlja </w:t>
      </w:r>
      <w:r w:rsidR="0095643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zaposlenih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i stanovništva.</w:t>
      </w:r>
    </w:p>
    <w:p w:rsidR="00371F52" w:rsidRPr="00E244C4" w:rsidRDefault="00371F52" w:rsidP="00DA0099">
      <w:pPr>
        <w:pStyle w:val="BodyText"/>
        <w:tabs>
          <w:tab w:val="left" w:pos="567"/>
        </w:tabs>
        <w:ind w:left="567" w:hanging="567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</w:p>
    <w:p w:rsidR="00145E16" w:rsidRPr="00E244C4" w:rsidRDefault="00145E16" w:rsidP="00DA0099">
      <w:pPr>
        <w:pStyle w:val="BodyText"/>
        <w:numPr>
          <w:ilvl w:val="0"/>
          <w:numId w:val="33"/>
        </w:numPr>
        <w:tabs>
          <w:tab w:val="left" w:pos="567"/>
        </w:tabs>
        <w:ind w:left="567" w:hanging="567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Član 30 Ugovora predviđa uspostav</w:t>
      </w:r>
      <w:r w:rsidR="00D2239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ljanje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osnovnih </w:t>
      </w:r>
      <w:r w:rsidR="0095643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standarda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unutar Zajednice za zaštitu zdravlja </w:t>
      </w:r>
      <w:r w:rsidR="0095643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zaposlenih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i stanovništva od opasnosti </w:t>
      </w:r>
      <w:r w:rsidR="0095643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koje potiču od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="0095643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j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onizirajućih zračenja.</w:t>
      </w:r>
    </w:p>
    <w:p w:rsidR="00371F52" w:rsidRPr="00E244C4" w:rsidRDefault="00371F52" w:rsidP="00DA0099">
      <w:pPr>
        <w:pStyle w:val="BodyText"/>
        <w:tabs>
          <w:tab w:val="left" w:pos="567"/>
        </w:tabs>
        <w:ind w:left="567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</w:p>
    <w:p w:rsidR="00145E16" w:rsidRPr="00E244C4" w:rsidRDefault="00145E16" w:rsidP="00DA0099">
      <w:pPr>
        <w:pStyle w:val="BodyText"/>
        <w:numPr>
          <w:ilvl w:val="0"/>
          <w:numId w:val="33"/>
        </w:numPr>
        <w:tabs>
          <w:tab w:val="left" w:pos="567"/>
        </w:tabs>
        <w:ind w:left="567" w:hanging="567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Direktiv</w:t>
      </w:r>
      <w:r w:rsidR="0095643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Vijeća 96/29/Euratom od 13. maja 1996. o utvrđivanju osnovnih sigurnosnih normi za zaštitu zdravlja </w:t>
      </w:r>
      <w:r w:rsidR="0095643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zaposlenih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i stanovništva od opasnosti</w:t>
      </w:r>
      <w:r w:rsidR="0095643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koje potiču od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ionizirajućeg zračenja</w:t>
      </w:r>
      <w:r w:rsidR="00B84671" w:rsidRPr="00E244C4">
        <w:rPr>
          <w:rFonts w:ascii="Verdana" w:hAnsi="Verdana"/>
          <w:sz w:val="20"/>
          <w:szCs w:val="20"/>
          <w:vertAlign w:val="superscript"/>
          <w:lang w:val="hr-HR"/>
        </w:rPr>
        <w:footnoteReference w:id="3"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uspostavlj</w:t>
      </w:r>
      <w:r w:rsidR="0095643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osnovne sigurnosne </w:t>
      </w:r>
      <w:r w:rsidR="0095643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standarde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. Odredbe te </w:t>
      </w:r>
      <w:r w:rsidR="0095643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d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irektive su</w:t>
      </w:r>
      <w:r w:rsidR="0095643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dopunjene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="0095643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konkretnijim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zakonodavstvom.</w:t>
      </w:r>
    </w:p>
    <w:p w:rsidR="00FA658D" w:rsidRPr="00E244C4" w:rsidRDefault="00FA658D" w:rsidP="00FA658D">
      <w:pPr>
        <w:pStyle w:val="BodyText"/>
        <w:tabs>
          <w:tab w:val="left" w:pos="567"/>
        </w:tabs>
        <w:ind w:left="567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</w:p>
    <w:p w:rsidR="00145E16" w:rsidRPr="00E244C4" w:rsidRDefault="002F4FCE" w:rsidP="00DA0099">
      <w:pPr>
        <w:pStyle w:val="BodyText"/>
        <w:numPr>
          <w:ilvl w:val="0"/>
          <w:numId w:val="33"/>
        </w:numPr>
        <w:tabs>
          <w:tab w:val="left" w:pos="567"/>
        </w:tabs>
        <w:ind w:left="567" w:hanging="567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  <w:r w:rsidRPr="00E244C4">
        <w:rPr>
          <w:rFonts w:ascii="Verdana" w:hAnsi="Verdana"/>
          <w:color w:val="1A171C"/>
          <w:sz w:val="20"/>
          <w:szCs w:val="20"/>
          <w:lang w:val="hr-HR"/>
        </w:rPr>
        <w:t>Kao što je priznato sudskom praksom</w:t>
      </w:r>
      <w:r w:rsidRPr="00E244C4">
        <w:rPr>
          <w:rFonts w:ascii="Verdana" w:hAnsi="Verdana"/>
          <w:sz w:val="20"/>
          <w:szCs w:val="20"/>
          <w:vertAlign w:val="superscript"/>
          <w:lang w:val="hr-HR"/>
        </w:rPr>
        <w:footnoteReference w:id="4"/>
      </w:r>
      <w:r w:rsidR="00074F7E" w:rsidRPr="00E244C4">
        <w:rPr>
          <w:rFonts w:ascii="Verdana" w:hAnsi="Verdana"/>
          <w:color w:val="1A171C"/>
          <w:sz w:val="20"/>
          <w:szCs w:val="20"/>
          <w:lang w:val="hr-HR"/>
        </w:rPr>
        <w:t xml:space="preserve"> Suda Evropskih zajednica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(</w:t>
      </w:r>
      <w:r w:rsidR="00DA0099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u daljem tekstu: 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Sud), Zajednica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dijeli nadležnost</w:t>
      </w:r>
      <w:r w:rsidR="00D2239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i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sa 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držav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ama 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članic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ama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u </w:t>
      </w:r>
      <w:r w:rsidR="00D2239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oblastima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obuhvaćenim Konvencijom o nuklearnoj sigurnosti</w:t>
      </w:r>
      <w:r w:rsidR="00B84671" w:rsidRPr="00E244C4">
        <w:rPr>
          <w:rFonts w:ascii="Verdana" w:hAnsi="Verdana"/>
          <w:sz w:val="20"/>
          <w:szCs w:val="20"/>
          <w:vertAlign w:val="superscript"/>
          <w:lang w:val="hr-HR"/>
        </w:rPr>
        <w:footnoteReference w:id="5"/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.</w:t>
      </w:r>
    </w:p>
    <w:p w:rsidR="00371F52" w:rsidRPr="00E244C4" w:rsidRDefault="00371F52" w:rsidP="00DA0099">
      <w:pPr>
        <w:pStyle w:val="BodyText"/>
        <w:tabs>
          <w:tab w:val="left" w:pos="567"/>
        </w:tabs>
        <w:ind w:left="567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</w:p>
    <w:p w:rsidR="002F4FCE" w:rsidRPr="00E244C4" w:rsidRDefault="002F4FCE" w:rsidP="002F4FCE">
      <w:pPr>
        <w:pStyle w:val="BodyText"/>
        <w:numPr>
          <w:ilvl w:val="0"/>
          <w:numId w:val="33"/>
        </w:numPr>
        <w:tabs>
          <w:tab w:val="left" w:pos="567"/>
        </w:tabs>
        <w:ind w:left="567" w:hanging="567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  <w:r w:rsidRPr="00E244C4">
        <w:rPr>
          <w:rFonts w:ascii="Verdana" w:hAnsi="Verdana"/>
          <w:color w:val="1A171C"/>
          <w:sz w:val="20"/>
          <w:szCs w:val="20"/>
          <w:lang w:val="hr-HR"/>
        </w:rPr>
        <w:t>Kao što je priznato sudskom praksom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Pr="00E244C4">
        <w:rPr>
          <w:rFonts w:ascii="Verdana" w:hAnsi="Verdana"/>
          <w:color w:val="1A171C"/>
          <w:sz w:val="20"/>
          <w:szCs w:val="20"/>
          <w:lang w:val="hr-HR"/>
        </w:rPr>
        <w:t>Suda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, odredbe </w:t>
      </w:r>
      <w:r w:rsidR="00DA0099" w:rsidRPr="00E244C4">
        <w:rPr>
          <w:rFonts w:ascii="Verdana" w:eastAsia="Cambria" w:hAnsi="Verdana"/>
          <w:color w:val="1A171C"/>
          <w:sz w:val="20"/>
          <w:szCs w:val="20"/>
          <w:lang w:val="hr-HR"/>
        </w:rPr>
        <w:t>P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oglavlja 3 Ugovora koje se odnose na zdravlje i sigurnost čine povezanu cjelinu </w:t>
      </w:r>
      <w:r w:rsidR="00D2239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i daju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Komisiji znatn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a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ovla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štenja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="00D2239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u cilju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zaštite stanovništva i okoliša od rizika nuklearne kontaminacije.</w:t>
      </w:r>
    </w:p>
    <w:p w:rsidR="002F4FCE" w:rsidRPr="00E244C4" w:rsidRDefault="002F4FCE" w:rsidP="002F4FCE">
      <w:pPr>
        <w:pStyle w:val="BodyText"/>
        <w:tabs>
          <w:tab w:val="left" w:pos="567"/>
        </w:tabs>
        <w:ind w:left="567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</w:p>
    <w:p w:rsidR="00FA658D" w:rsidRPr="00E244C4" w:rsidRDefault="00FA658D" w:rsidP="002F4FCE">
      <w:pPr>
        <w:pStyle w:val="BodyText"/>
        <w:tabs>
          <w:tab w:val="left" w:pos="567"/>
        </w:tabs>
        <w:ind w:left="567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</w:p>
    <w:p w:rsidR="00145E16" w:rsidRPr="00E244C4" w:rsidRDefault="002F4FCE" w:rsidP="002F4FCE">
      <w:pPr>
        <w:pStyle w:val="BodyText"/>
        <w:numPr>
          <w:ilvl w:val="0"/>
          <w:numId w:val="33"/>
        </w:numPr>
        <w:tabs>
          <w:tab w:val="left" w:pos="567"/>
        </w:tabs>
        <w:ind w:left="567" w:hanging="567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  <w:r w:rsidRPr="00E244C4">
        <w:rPr>
          <w:rFonts w:ascii="Verdana" w:hAnsi="Verdana"/>
          <w:color w:val="1A171C"/>
          <w:sz w:val="20"/>
          <w:szCs w:val="20"/>
          <w:lang w:val="hr-HR"/>
        </w:rPr>
        <w:lastRenderedPageBreak/>
        <w:t>Kao što je priznato sudskom praksom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Pr="00E244C4">
        <w:rPr>
          <w:rFonts w:ascii="Verdana" w:hAnsi="Verdana"/>
          <w:color w:val="1A171C"/>
          <w:sz w:val="20"/>
          <w:szCs w:val="20"/>
          <w:lang w:val="hr-HR"/>
        </w:rPr>
        <w:t>Suda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,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Pr="00E244C4">
        <w:rPr>
          <w:rFonts w:ascii="Verdana" w:hAnsi="Verdana"/>
          <w:color w:val="1A171C"/>
          <w:sz w:val="20"/>
          <w:szCs w:val="20"/>
          <w:lang w:val="hr-HR"/>
        </w:rPr>
        <w:t xml:space="preserve">zadaci određeni Zajednici u članu 2 tačka (b) Ugovora da propiše jedinstvene sigurnosne standarde u cilju zaštite zdravlja zaposlenih i stanovništva 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ne znač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e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da jednom kad t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i standardi budu utvrđeni,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država članica ne </w:t>
      </w:r>
      <w:r w:rsidR="00D2239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može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predvidjeti strož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ij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e mjere zaštite.</w:t>
      </w:r>
    </w:p>
    <w:p w:rsidR="00371F52" w:rsidRPr="00E244C4" w:rsidRDefault="00371F52" w:rsidP="00306B3E">
      <w:pPr>
        <w:pStyle w:val="BodyText"/>
        <w:tabs>
          <w:tab w:val="left" w:pos="567"/>
        </w:tabs>
        <w:ind w:left="0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</w:p>
    <w:p w:rsidR="00145E16" w:rsidRPr="00E244C4" w:rsidRDefault="00145E16" w:rsidP="00B0356D">
      <w:pPr>
        <w:pStyle w:val="BodyText"/>
        <w:numPr>
          <w:ilvl w:val="0"/>
          <w:numId w:val="33"/>
        </w:numPr>
        <w:ind w:left="567" w:hanging="567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Odluk</w:t>
      </w:r>
      <w:r w:rsidR="00E104A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om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Vijeća 87/600/Euratom od 14. decembra 1987. o </w:t>
      </w:r>
      <w:r w:rsidR="00D2239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mehanizmima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Zajednice </w:t>
      </w:r>
      <w:r w:rsidR="003835C0" w:rsidRPr="00E244C4">
        <w:rPr>
          <w:rFonts w:ascii="Verdana" w:eastAsia="Cambria" w:hAnsi="Verdana"/>
          <w:color w:val="1A171C"/>
          <w:sz w:val="20"/>
          <w:szCs w:val="20"/>
          <w:lang w:val="hr-HR"/>
        </w:rPr>
        <w:t>za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ran</w:t>
      </w:r>
      <w:r w:rsidR="003835C0" w:rsidRPr="00E244C4">
        <w:rPr>
          <w:rFonts w:ascii="Verdana" w:eastAsia="Cambria" w:hAnsi="Verdana"/>
          <w:color w:val="1A171C"/>
          <w:sz w:val="20"/>
          <w:szCs w:val="20"/>
          <w:lang w:val="hr-HR"/>
        </w:rPr>
        <w:t>u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razmjen</w:t>
      </w:r>
      <w:r w:rsidR="003835C0" w:rsidRPr="00E244C4">
        <w:rPr>
          <w:rFonts w:ascii="Verdana" w:eastAsia="Cambria" w:hAnsi="Verdana"/>
          <w:color w:val="1A171C"/>
          <w:sz w:val="20"/>
          <w:szCs w:val="20"/>
          <w:lang w:val="hr-HR"/>
        </w:rPr>
        <w:t>u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informacija u slučaju </w:t>
      </w:r>
      <w:r w:rsidR="003835C0" w:rsidRPr="00E244C4">
        <w:rPr>
          <w:rFonts w:ascii="Verdana" w:eastAsia="Cambria" w:hAnsi="Verdana"/>
          <w:color w:val="1A171C"/>
          <w:sz w:val="20"/>
          <w:szCs w:val="20"/>
          <w:lang w:val="hr-HR"/>
        </w:rPr>
        <w:t>vanredn</w:t>
      </w:r>
      <w:r w:rsidR="00D2239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og</w:t>
      </w:r>
      <w:r w:rsidR="003835C0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="00D2239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radiološkog događaja</w:t>
      </w:r>
      <w:r w:rsidR="009F16F4" w:rsidRPr="00E244C4">
        <w:rPr>
          <w:rFonts w:ascii="Verdana" w:hAnsi="Verdana"/>
          <w:sz w:val="20"/>
          <w:szCs w:val="20"/>
          <w:vertAlign w:val="superscript"/>
          <w:lang w:val="hr-HR"/>
        </w:rPr>
        <w:footnoteReference w:id="6"/>
      </w:r>
      <w:r w:rsidR="00E104A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 uspostavljen je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okvir </w:t>
      </w:r>
      <w:r w:rsidR="003835C0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za obavještavanje i dostavljanje informacija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koj</w:t>
      </w:r>
      <w:r w:rsidR="003835C0" w:rsidRPr="00E244C4">
        <w:rPr>
          <w:rFonts w:ascii="Verdana" w:eastAsia="Cambria" w:hAnsi="Verdana"/>
          <w:color w:val="1A171C"/>
          <w:sz w:val="20"/>
          <w:szCs w:val="20"/>
          <w:lang w:val="hr-HR"/>
        </w:rPr>
        <w:t>eg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države članice trebaju koristiti radi zaštite stanovništva u slučaju </w:t>
      </w:r>
      <w:r w:rsidR="00E104A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vanrednog radiološkog događaja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. </w:t>
      </w:r>
      <w:r w:rsidR="003835C0" w:rsidRPr="00E244C4">
        <w:rPr>
          <w:rFonts w:ascii="Verdana" w:eastAsia="Cambria" w:hAnsi="Verdana"/>
          <w:color w:val="1A171C"/>
          <w:sz w:val="20"/>
          <w:szCs w:val="20"/>
          <w:lang w:val="hr-HR"/>
        </w:rPr>
        <w:t>Direktiv</w:t>
      </w:r>
      <w:r w:rsidR="006B21E8" w:rsidRPr="00E244C4">
        <w:rPr>
          <w:rFonts w:ascii="Verdana" w:eastAsia="Cambria" w:hAnsi="Verdana"/>
          <w:color w:val="1A171C"/>
          <w:sz w:val="20"/>
          <w:szCs w:val="20"/>
          <w:lang w:val="hr-HR"/>
        </w:rPr>
        <w:t>a</w:t>
      </w:r>
      <w:r w:rsidR="003835C0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Vijeća 89/618/Euratom od 27. novembra 1989. o obavješ</w:t>
      </w:r>
      <w:r w:rsidR="007019CC" w:rsidRPr="00E244C4">
        <w:rPr>
          <w:rFonts w:ascii="Verdana" w:eastAsia="Cambria" w:hAnsi="Verdana"/>
          <w:color w:val="1A171C"/>
          <w:sz w:val="20"/>
          <w:szCs w:val="20"/>
          <w:lang w:val="hr-HR"/>
        </w:rPr>
        <w:t>tav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anju stanovništva o mjerama zdravstvene zaštite </w:t>
      </w:r>
      <w:r w:rsidR="006B21E8" w:rsidRPr="00E244C4">
        <w:rPr>
          <w:rFonts w:ascii="Verdana" w:eastAsia="Cambria" w:hAnsi="Verdana"/>
          <w:color w:val="1A171C"/>
          <w:sz w:val="20"/>
          <w:szCs w:val="20"/>
          <w:lang w:val="hr-HR"/>
        </w:rPr>
        <w:t>koje se</w:t>
      </w:r>
      <w:r w:rsidR="00E104AE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primjenjuju </w:t>
      </w:r>
      <w:r w:rsidR="006B21E8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i koracima koji se poduzimaju u slučaju </w:t>
      </w:r>
      <w:r w:rsidR="00E104A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vanrednog radiološkog događaja</w:t>
      </w:r>
      <w:r w:rsidR="00304A9A" w:rsidRPr="00E244C4">
        <w:rPr>
          <w:rFonts w:ascii="Verdana" w:hAnsi="Verdana"/>
          <w:sz w:val="20"/>
          <w:szCs w:val="20"/>
          <w:vertAlign w:val="superscript"/>
          <w:lang w:val="hr-HR"/>
        </w:rPr>
        <w:footnoteReference w:id="7"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="006B21E8" w:rsidRPr="00E244C4">
        <w:rPr>
          <w:rFonts w:ascii="Verdana" w:eastAsia="Cambria" w:hAnsi="Verdana"/>
          <w:color w:val="1A171C"/>
          <w:sz w:val="20"/>
          <w:szCs w:val="20"/>
          <w:lang w:val="hr-HR"/>
        </w:rPr>
        <w:t>uvodi obavezu država članica da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obav</w:t>
      </w:r>
      <w:r w:rsidR="006B21E8" w:rsidRPr="00E244C4">
        <w:rPr>
          <w:rFonts w:ascii="Verdana" w:eastAsia="Cambria" w:hAnsi="Verdana"/>
          <w:color w:val="1A171C"/>
          <w:sz w:val="20"/>
          <w:szCs w:val="20"/>
          <w:lang w:val="hr-HR"/>
        </w:rPr>
        <w:t>ijest</w:t>
      </w:r>
      <w:r w:rsidR="0039233C" w:rsidRPr="00E244C4">
        <w:rPr>
          <w:rFonts w:ascii="Verdana" w:eastAsia="Cambria" w:hAnsi="Verdana"/>
          <w:color w:val="1A171C"/>
          <w:sz w:val="20"/>
          <w:szCs w:val="20"/>
          <w:lang w:val="hr-HR"/>
        </w:rPr>
        <w:t>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stanovništv</w:t>
      </w:r>
      <w:r w:rsidR="006B21E8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u slučaju </w:t>
      </w:r>
      <w:r w:rsidR="00E104A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vanrednog radiološkog događaja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.</w:t>
      </w:r>
    </w:p>
    <w:p w:rsidR="00371F52" w:rsidRPr="00E244C4" w:rsidRDefault="00371F52" w:rsidP="00B0356D">
      <w:pPr>
        <w:pStyle w:val="BodyText"/>
        <w:ind w:left="567" w:hanging="567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</w:p>
    <w:p w:rsidR="00145E16" w:rsidRPr="00E244C4" w:rsidRDefault="00B82B6B" w:rsidP="00B0356D">
      <w:pPr>
        <w:pStyle w:val="BodyText"/>
        <w:numPr>
          <w:ilvl w:val="0"/>
          <w:numId w:val="33"/>
        </w:numPr>
        <w:ind w:left="567" w:hanging="567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Državna odgovornost država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članica za nuklearnu sigurnost nuklearnih </w:t>
      </w:r>
      <w:r w:rsidR="00753B05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objekata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="00D97F89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je 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temeljn</w:t>
      </w:r>
      <w:r w:rsidR="002C3358" w:rsidRPr="00E244C4">
        <w:rPr>
          <w:rFonts w:ascii="Verdana" w:eastAsia="Cambria" w:hAnsi="Verdana"/>
          <w:color w:val="1A171C"/>
          <w:sz w:val="20"/>
          <w:szCs w:val="20"/>
          <w:lang w:val="hr-HR"/>
        </w:rPr>
        <w:t>i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princip</w:t>
      </w:r>
      <w:r w:rsidR="00D97F89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na osnovu kojeg </w:t>
      </w:r>
      <w:r w:rsidR="0039233C" w:rsidRPr="00E244C4">
        <w:rPr>
          <w:rFonts w:ascii="Verdana" w:eastAsia="Cambria" w:hAnsi="Verdana"/>
          <w:color w:val="1A171C"/>
          <w:sz w:val="20"/>
          <w:szCs w:val="20"/>
          <w:lang w:val="hr-HR"/>
        </w:rPr>
        <w:t>je urađena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="00D97F89" w:rsidRPr="00E244C4">
        <w:rPr>
          <w:rFonts w:ascii="Verdana" w:eastAsia="Cambria" w:hAnsi="Verdana"/>
          <w:color w:val="1A171C"/>
          <w:sz w:val="20"/>
          <w:szCs w:val="20"/>
          <w:lang w:val="hr-HR"/>
        </w:rPr>
        <w:t>međunarodn</w:t>
      </w:r>
      <w:r w:rsidR="0039233C" w:rsidRPr="00E244C4">
        <w:rPr>
          <w:rFonts w:ascii="Verdana" w:eastAsia="Cambria" w:hAnsi="Verdana"/>
          <w:color w:val="1A171C"/>
          <w:sz w:val="20"/>
          <w:szCs w:val="20"/>
          <w:lang w:val="hr-HR"/>
        </w:rPr>
        <w:t>a regulativa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o nuklearnoj sigurnosti</w:t>
      </w:r>
      <w:r w:rsidR="00D97F89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, što je </w:t>
      </w:r>
      <w:r w:rsidR="0039233C" w:rsidRPr="00E244C4">
        <w:rPr>
          <w:rFonts w:ascii="Verdana" w:eastAsia="Cambria" w:hAnsi="Verdana"/>
          <w:color w:val="1A171C"/>
          <w:sz w:val="20"/>
          <w:szCs w:val="20"/>
          <w:lang w:val="hr-HR"/>
        </w:rPr>
        <w:t>zvanično podržano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Konvencij</w:t>
      </w:r>
      <w:r w:rsidR="0039233C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om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o nuklearnoj sigurnosti. </w:t>
      </w:r>
      <w:r w:rsidR="00AB5015" w:rsidRPr="00E244C4">
        <w:rPr>
          <w:rFonts w:ascii="Verdana" w:eastAsia="Cambria" w:hAnsi="Verdana"/>
          <w:color w:val="1A171C"/>
          <w:sz w:val="20"/>
          <w:szCs w:val="20"/>
          <w:lang w:val="hr-HR"/>
        </w:rPr>
        <w:t>Taj princip državne odgovornosti, kao i princip primarne odgovornosti vlasnika licence za nuklearnu sigurnost nuklearnih objekata pod nadzorom njegovog državnog nadležnog regulatornog organa bi treba</w:t>
      </w:r>
      <w:r w:rsidR="002B707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li</w:t>
      </w:r>
      <w:r w:rsidR="00AB5015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biti ojačan</w:t>
      </w:r>
      <w:r w:rsidR="002B707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i</w:t>
      </w:r>
      <w:r w:rsidR="00AB5015" w:rsidRPr="00E244C4">
        <w:rPr>
          <w:rFonts w:ascii="Verdana" w:eastAsia="Cambria" w:hAnsi="Verdana"/>
          <w:color w:val="1A171C"/>
          <w:sz w:val="20"/>
          <w:szCs w:val="20"/>
          <w:lang w:val="hr-HR"/>
        </w:rPr>
        <w:t>, a uloga i nezavisnost nadležnih regulatornih organa dodatno po</w:t>
      </w:r>
      <w:r w:rsidR="002B707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držan</w:t>
      </w:r>
      <w:r w:rsidR="00AB5015" w:rsidRPr="00E244C4">
        <w:rPr>
          <w:rFonts w:ascii="Verdana" w:eastAsia="Cambria" w:hAnsi="Verdana"/>
          <w:color w:val="1A171C"/>
          <w:sz w:val="20"/>
          <w:szCs w:val="20"/>
          <w:lang w:val="hr-HR"/>
        </w:rPr>
        <w:t>i ovom direktivom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.</w:t>
      </w:r>
    </w:p>
    <w:p w:rsidR="00371F52" w:rsidRPr="00E244C4" w:rsidRDefault="00371F52" w:rsidP="00B0356D">
      <w:pPr>
        <w:pStyle w:val="BodyText"/>
        <w:ind w:left="567" w:hanging="567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</w:p>
    <w:p w:rsidR="00145E16" w:rsidRPr="00E244C4" w:rsidRDefault="00145E16" w:rsidP="00B0356D">
      <w:pPr>
        <w:pStyle w:val="BodyText"/>
        <w:numPr>
          <w:ilvl w:val="0"/>
          <w:numId w:val="33"/>
        </w:numPr>
        <w:ind w:left="567" w:hanging="567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Svaka država članica može </w:t>
      </w:r>
      <w:r w:rsidR="00B82B6B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odlučivati o vlastitoj kombinaciji izvora energije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u skladu s relevantnim </w:t>
      </w:r>
      <w:r w:rsidR="00797EE0" w:rsidRPr="00E244C4">
        <w:rPr>
          <w:rFonts w:ascii="Verdana" w:eastAsia="Cambria" w:hAnsi="Verdana"/>
          <w:color w:val="1A171C"/>
          <w:sz w:val="20"/>
          <w:szCs w:val="20"/>
          <w:lang w:val="hr-HR"/>
        </w:rPr>
        <w:t>državn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im politikama.</w:t>
      </w:r>
    </w:p>
    <w:p w:rsidR="00371F52" w:rsidRPr="00E244C4" w:rsidRDefault="00371F52" w:rsidP="00B0356D">
      <w:pPr>
        <w:pStyle w:val="BodyText"/>
        <w:tabs>
          <w:tab w:val="left" w:pos="567"/>
        </w:tabs>
        <w:ind w:left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</w:p>
    <w:p w:rsidR="00145E16" w:rsidRPr="00E244C4" w:rsidRDefault="00145E16" w:rsidP="00B0356D">
      <w:pPr>
        <w:pStyle w:val="BodyText"/>
        <w:numPr>
          <w:ilvl w:val="0"/>
          <w:numId w:val="33"/>
        </w:numPr>
        <w:ind w:left="567" w:hanging="567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Prilikom </w:t>
      </w:r>
      <w:r w:rsidR="00B82B6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izrade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odgovarajućeg </w:t>
      </w:r>
      <w:r w:rsidR="00797EE0" w:rsidRPr="00E244C4">
        <w:rPr>
          <w:rFonts w:ascii="Verdana" w:eastAsia="Cambria" w:hAnsi="Verdana"/>
          <w:color w:val="1A171C"/>
          <w:sz w:val="20"/>
          <w:szCs w:val="20"/>
          <w:lang w:val="hr-HR"/>
        </w:rPr>
        <w:t>državn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og okvira </w:t>
      </w:r>
      <w:r w:rsidR="00B82B6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u skladu sa ovom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direktiv</w:t>
      </w:r>
      <w:r w:rsidR="00B82B6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om</w:t>
      </w:r>
      <w:r w:rsidR="002B707E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će se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u obzir uzeti </w:t>
      </w:r>
      <w:r w:rsidR="00797EE0" w:rsidRPr="00E244C4">
        <w:rPr>
          <w:rFonts w:ascii="Verdana" w:eastAsia="Cambria" w:hAnsi="Verdana"/>
          <w:color w:val="1A171C"/>
          <w:sz w:val="20"/>
          <w:szCs w:val="20"/>
          <w:lang w:val="hr-HR"/>
        </w:rPr>
        <w:t>državn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e okolnosti.</w:t>
      </w:r>
    </w:p>
    <w:p w:rsidR="00371F52" w:rsidRPr="00E244C4" w:rsidRDefault="00371F52" w:rsidP="00B0356D">
      <w:pPr>
        <w:pStyle w:val="BodyText"/>
        <w:tabs>
          <w:tab w:val="left" w:pos="567"/>
        </w:tabs>
        <w:ind w:left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</w:p>
    <w:p w:rsidR="00145E16" w:rsidRPr="00E244C4" w:rsidRDefault="00145E16" w:rsidP="00DA0099">
      <w:pPr>
        <w:pStyle w:val="BodyText"/>
        <w:numPr>
          <w:ilvl w:val="0"/>
          <w:numId w:val="33"/>
        </w:numPr>
        <w:tabs>
          <w:tab w:val="left" w:pos="567"/>
        </w:tabs>
        <w:ind w:left="426" w:hanging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Države članice su</w:t>
      </w:r>
      <w:r w:rsidR="009A6E9A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već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provele mjere koje im omogućavaju ostvarivanje visok</w:t>
      </w:r>
      <w:r w:rsidR="009D0989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og </w:t>
      </w:r>
      <w:r w:rsidR="009D0989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  <w:t>nivoa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nuklearne sigurnosti unutar Zajednice.</w:t>
      </w:r>
    </w:p>
    <w:p w:rsidR="00371F52" w:rsidRPr="00E244C4" w:rsidRDefault="00371F52" w:rsidP="00B0356D">
      <w:pPr>
        <w:pStyle w:val="BodyText"/>
        <w:tabs>
          <w:tab w:val="left" w:pos="567"/>
        </w:tabs>
        <w:ind w:left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</w:p>
    <w:p w:rsidR="00145E16" w:rsidRPr="00E244C4" w:rsidRDefault="00145E16" w:rsidP="00DA0099">
      <w:pPr>
        <w:pStyle w:val="BodyText"/>
        <w:numPr>
          <w:ilvl w:val="0"/>
          <w:numId w:val="33"/>
        </w:numPr>
        <w:tabs>
          <w:tab w:val="left" w:pos="567"/>
        </w:tabs>
        <w:ind w:left="426" w:hanging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Iako se ova </w:t>
      </w:r>
      <w:r w:rsidR="007019CC" w:rsidRPr="00E244C4">
        <w:rPr>
          <w:rFonts w:ascii="Verdana" w:eastAsia="Cambria" w:hAnsi="Verdana"/>
          <w:color w:val="1A171C"/>
          <w:sz w:val="20"/>
          <w:szCs w:val="20"/>
          <w:lang w:val="hr-HR"/>
        </w:rPr>
        <w:t>d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irektiva </w:t>
      </w:r>
      <w:r w:rsidR="003552A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prvenstveno odnosi na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="003552AE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nuklearnu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sigurno</w:t>
      </w:r>
      <w:r w:rsidR="003552A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st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nuklearnih </w:t>
      </w:r>
      <w:r w:rsidR="00B0356D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="00753B05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objekata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, takođe je </w:t>
      </w:r>
      <w:r w:rsidR="003552A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važno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osigurati sigurno </w:t>
      </w:r>
      <w:r w:rsidR="007019CC" w:rsidRPr="00E244C4">
        <w:rPr>
          <w:rFonts w:ascii="Verdana" w:eastAsia="Cambria" w:hAnsi="Verdana"/>
          <w:color w:val="1A171C"/>
          <w:sz w:val="20"/>
          <w:szCs w:val="20"/>
          <w:lang w:val="hr-HR"/>
        </w:rPr>
        <w:t>zbrinjavanje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istrošen</w:t>
      </w:r>
      <w:r w:rsidR="007019CC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og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goriv</w:t>
      </w:r>
      <w:r w:rsidR="007019CC" w:rsidRPr="00E244C4">
        <w:rPr>
          <w:rFonts w:ascii="Verdana" w:eastAsia="Cambria" w:hAnsi="Verdana"/>
          <w:color w:val="1A171C"/>
          <w:sz w:val="20"/>
          <w:szCs w:val="20"/>
          <w:lang w:val="hr-HR"/>
        </w:rPr>
        <w:t>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i </w:t>
      </w:r>
      <w:r w:rsidR="00B0356D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radioaktivn</w:t>
      </w:r>
      <w:r w:rsidR="007019CC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og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otpad</w:t>
      </w:r>
      <w:r w:rsidR="007019CC" w:rsidRPr="00E244C4">
        <w:rPr>
          <w:rFonts w:ascii="Verdana" w:eastAsia="Cambria" w:hAnsi="Verdana"/>
          <w:color w:val="1A171C"/>
          <w:sz w:val="20"/>
          <w:szCs w:val="20"/>
          <w:lang w:val="hr-HR"/>
        </w:rPr>
        <w:t>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, uključujući </w:t>
      </w:r>
      <w:r w:rsidR="003552AE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i ono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u skladištima i odlagalištima.</w:t>
      </w:r>
    </w:p>
    <w:p w:rsidR="00371F52" w:rsidRPr="00E244C4" w:rsidRDefault="00371F52" w:rsidP="00B0356D">
      <w:pPr>
        <w:pStyle w:val="BodyText"/>
        <w:tabs>
          <w:tab w:val="left" w:pos="567"/>
        </w:tabs>
        <w:ind w:left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</w:p>
    <w:p w:rsidR="00145E16" w:rsidRPr="00E244C4" w:rsidRDefault="00145E16" w:rsidP="00DA0099">
      <w:pPr>
        <w:pStyle w:val="BodyText"/>
        <w:numPr>
          <w:ilvl w:val="0"/>
          <w:numId w:val="33"/>
        </w:numPr>
        <w:tabs>
          <w:tab w:val="left" w:pos="567"/>
        </w:tabs>
        <w:ind w:left="426" w:hanging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Države članice bi p</w:t>
      </w:r>
      <w:r w:rsidR="009D0D48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potrebi trebale procijeniti relevantn</w:t>
      </w:r>
      <w:r w:rsidR="002B707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temeljn</w:t>
      </w:r>
      <w:r w:rsidR="006671F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e principe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="00B0356D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sigurnosti koj</w:t>
      </w:r>
      <w:r w:rsidR="006744AC" w:rsidRPr="00E244C4">
        <w:rPr>
          <w:rFonts w:ascii="Verdana" w:eastAsia="Cambria" w:hAnsi="Verdana"/>
          <w:color w:val="1A171C"/>
          <w:sz w:val="20"/>
          <w:szCs w:val="20"/>
          <w:lang w:val="hr-HR"/>
        </w:rPr>
        <w:t>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je u</w:t>
      </w:r>
      <w:r w:rsidR="003552A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tvrdila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Međunarodna agencija za atomsku energiju</w:t>
      </w:r>
      <w:r w:rsidR="00C22289" w:rsidRPr="00E244C4">
        <w:rPr>
          <w:rFonts w:ascii="Verdana" w:hAnsi="Verdana"/>
          <w:sz w:val="20"/>
          <w:szCs w:val="20"/>
          <w:vertAlign w:val="superscript"/>
          <w:lang w:val="hr-HR"/>
        </w:rPr>
        <w:footnoteReference w:id="8"/>
      </w:r>
      <w:r w:rsidR="006744AC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i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koj</w:t>
      </w:r>
      <w:r w:rsidR="006744AC" w:rsidRPr="00E244C4">
        <w:rPr>
          <w:rFonts w:ascii="Verdana" w:eastAsia="Cambria" w:hAnsi="Verdana"/>
          <w:color w:val="1A171C"/>
          <w:sz w:val="20"/>
          <w:szCs w:val="20"/>
          <w:lang w:val="hr-HR"/>
        </w:rPr>
        <w:t>i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bi </w:t>
      </w:r>
      <w:r w:rsidR="003427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trebal</w:t>
      </w:r>
      <w:r w:rsidR="002B707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i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čin</w:t>
      </w:r>
      <w:r w:rsidR="003427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iti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okvir </w:t>
      </w:r>
      <w:r w:rsidR="003427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za prakse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koj</w:t>
      </w:r>
      <w:r w:rsidR="003427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bi države članice trebale uzimati u obzir pri </w:t>
      </w:r>
      <w:r w:rsidR="003427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prov</w:t>
      </w:r>
      <w:r w:rsidR="00306B3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ođenju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ove </w:t>
      </w:r>
      <w:r w:rsidR="00306B3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d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irektive.</w:t>
      </w:r>
    </w:p>
    <w:p w:rsidR="00371F52" w:rsidRPr="00E244C4" w:rsidRDefault="00371F52" w:rsidP="00B0356D">
      <w:pPr>
        <w:pStyle w:val="BodyText"/>
        <w:tabs>
          <w:tab w:val="left" w:pos="567"/>
        </w:tabs>
        <w:ind w:left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</w:p>
    <w:p w:rsidR="00145E16" w:rsidRPr="00E244C4" w:rsidRDefault="00342716" w:rsidP="00DA0099">
      <w:pPr>
        <w:pStyle w:val="BodyText"/>
        <w:numPr>
          <w:ilvl w:val="0"/>
          <w:numId w:val="33"/>
        </w:numPr>
        <w:tabs>
          <w:tab w:val="left" w:pos="567"/>
        </w:tabs>
        <w:ind w:left="426" w:hanging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Korisno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je na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dovezati se na proces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u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kojem </w:t>
      </w:r>
      <w:r w:rsidR="00797EE0" w:rsidRPr="00E244C4">
        <w:rPr>
          <w:rFonts w:ascii="Verdana" w:eastAsia="Cambria" w:hAnsi="Verdana"/>
          <w:color w:val="1A171C"/>
          <w:sz w:val="20"/>
          <w:szCs w:val="20"/>
          <w:lang w:val="hr-HR"/>
        </w:rPr>
        <w:t>državn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i organi nadležni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za sigurnost u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državama članicama koje na svoj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oj teritoriji i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maju nuklearne elektrane s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a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rađuju u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  <w:t>kontekstu Asocijacije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zapadnoe</w:t>
      </w:r>
      <w:r w:rsidR="00304A9A" w:rsidRPr="00E244C4">
        <w:rPr>
          <w:rFonts w:ascii="Verdana" w:eastAsia="Cambria" w:hAnsi="Verdana"/>
          <w:color w:val="1A171C"/>
          <w:sz w:val="20"/>
          <w:szCs w:val="20"/>
          <w:lang w:val="hr-HR"/>
        </w:rPr>
        <w:t>v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ropskih </w:t>
      </w:r>
      <w:r w:rsidR="002B707E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nuklearnih 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regulatora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(WENRA) 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i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koji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su </w:t>
      </w:r>
      <w:r w:rsidR="002B707E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utvrdil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i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mnoge referentne </w:t>
      </w:r>
      <w:r w:rsidR="007019CC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nivoe 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sigurnosti za </w:t>
      </w:r>
      <w:r w:rsidR="00066A4F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energetske 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reaktore.</w:t>
      </w:r>
    </w:p>
    <w:p w:rsidR="001E1C62" w:rsidRPr="00E244C4" w:rsidRDefault="001E1C62" w:rsidP="001E1C62">
      <w:pPr>
        <w:pStyle w:val="BodyText"/>
        <w:tabs>
          <w:tab w:val="left" w:pos="567"/>
        </w:tabs>
        <w:ind w:left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</w:p>
    <w:p w:rsidR="001E1C62" w:rsidRPr="00E244C4" w:rsidRDefault="001E1C62" w:rsidP="00DA0099">
      <w:pPr>
        <w:pStyle w:val="BodyText"/>
        <w:numPr>
          <w:ilvl w:val="0"/>
          <w:numId w:val="33"/>
        </w:numPr>
        <w:tabs>
          <w:tab w:val="left" w:pos="567"/>
        </w:tabs>
        <w:ind w:left="426" w:hanging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Nakon poziva Vijeća da se na nivou EU osnuje Grupa visokog nivoa, kako je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  <w:t xml:space="preserve">navedeno u njegovim zaključcima od 8. maja 2007. o nuklearnoj sigurnosti i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  <w:t xml:space="preserve">sigurnom </w:t>
      </w:r>
      <w:r w:rsidR="00E244C4" w:rsidRPr="00E244C4">
        <w:rPr>
          <w:rFonts w:ascii="Verdana" w:eastAsia="Cambria" w:hAnsi="Verdana"/>
          <w:color w:val="1A171C"/>
          <w:sz w:val="20"/>
          <w:szCs w:val="20"/>
          <w:lang w:val="hr-HR"/>
        </w:rPr>
        <w:t>zbrinjavanju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istrošenog nuklearnog goriva i radioaktivnog otpada, Grupa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  <w:t xml:space="preserve">evropskih regulatora nuklearne sigurnosti (ENSREG) je osnovana Odlukom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  <w:t xml:space="preserve">Komisije 2007/530/Euratom od 17. jula 2007. o osnivanju Evropske grupe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  <w:t>visokog nivoa za nuklearnu sigurnost i zbrinjavanje otpada</w:t>
      </w:r>
      <w:r w:rsidRPr="00E244C4">
        <w:rPr>
          <w:rFonts w:ascii="Verdana" w:hAnsi="Verdana"/>
          <w:sz w:val="20"/>
          <w:szCs w:val="20"/>
          <w:vertAlign w:val="superscript"/>
          <w:lang w:val="hr-HR"/>
        </w:rPr>
        <w:footnoteReference w:id="9"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u cilju doprinosa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lastRenderedPageBreak/>
        <w:tab/>
        <w:t>ostvarivanju ciljeva Zajednice u oblasti nuklearne sigurnosti.</w:t>
      </w:r>
    </w:p>
    <w:p w:rsidR="00371F52" w:rsidRPr="00E244C4" w:rsidRDefault="00371F52" w:rsidP="009D0989">
      <w:pPr>
        <w:pStyle w:val="BodyText"/>
        <w:tabs>
          <w:tab w:val="left" w:pos="567"/>
        </w:tabs>
        <w:ind w:left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</w:p>
    <w:p w:rsidR="00145E16" w:rsidRPr="00E244C4" w:rsidRDefault="000421F7" w:rsidP="00DA0099">
      <w:pPr>
        <w:pStyle w:val="BodyText"/>
        <w:numPr>
          <w:ilvl w:val="0"/>
          <w:numId w:val="33"/>
        </w:numPr>
        <w:tabs>
          <w:tab w:val="left" w:pos="567"/>
        </w:tabs>
        <w:ind w:left="426" w:hanging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Korisno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je uspostaviti jedinstvenu strukturu za izvješ</w:t>
      </w:r>
      <w:r w:rsidR="009F16F4" w:rsidRPr="00E244C4">
        <w:rPr>
          <w:rFonts w:ascii="Verdana" w:eastAsia="Cambria" w:hAnsi="Verdana"/>
          <w:color w:val="1A171C"/>
          <w:sz w:val="20"/>
          <w:szCs w:val="20"/>
          <w:lang w:val="hr-HR"/>
        </w:rPr>
        <w:t>taje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država članica</w:t>
      </w:r>
      <w:r w:rsidR="001E54ED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Komisiji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o </w:t>
      </w:r>
      <w:r w:rsidR="007A448B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prov</w:t>
      </w:r>
      <w:r w:rsidR="007A448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ođenju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ove </w:t>
      </w:r>
      <w:r w:rsidR="007A448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d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irektive. S obzirom na o</w:t>
      </w:r>
      <w:r w:rsidR="009F16F4" w:rsidRPr="00E244C4">
        <w:rPr>
          <w:rFonts w:ascii="Verdana" w:eastAsia="Cambria" w:hAnsi="Verdana"/>
          <w:color w:val="1A171C"/>
          <w:sz w:val="20"/>
          <w:szCs w:val="20"/>
          <w:lang w:val="hr-HR"/>
        </w:rPr>
        <w:t>bimno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iskustvo svojih članova</w:t>
      </w:r>
      <w:r w:rsidR="007A448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,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ENSREG bi </w:t>
      </w:r>
      <w:r w:rsidR="001E54ED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moga</w:t>
      </w:r>
      <w:r w:rsidR="001E54ED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 dati vrijedan doprinos u tom pogledu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, čime bi</w:t>
      </w:r>
      <w:r w:rsidR="001E54ED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se 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olakšal</w:t>
      </w:r>
      <w:r w:rsidR="001E54ED" w:rsidRPr="00E244C4">
        <w:rPr>
          <w:rFonts w:ascii="Verdana" w:eastAsia="Cambria" w:hAnsi="Verdana"/>
          <w:color w:val="1A171C"/>
          <w:sz w:val="20"/>
          <w:szCs w:val="20"/>
          <w:lang w:val="hr-HR"/>
        </w:rPr>
        <w:t>e konsultacije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i </w:t>
      </w:r>
      <w:r w:rsidR="001E54ED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s</w:t>
      </w:r>
      <w:r w:rsidR="007A448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a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radnja između </w:t>
      </w:r>
      <w:r w:rsidR="00797EE0" w:rsidRPr="00E244C4">
        <w:rPr>
          <w:rFonts w:ascii="Verdana" w:eastAsia="Cambria" w:hAnsi="Verdana"/>
          <w:color w:val="1A171C"/>
          <w:sz w:val="20"/>
          <w:szCs w:val="20"/>
          <w:lang w:val="hr-HR"/>
        </w:rPr>
        <w:t>državn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ih regulatornih</w:t>
      </w:r>
      <w:r w:rsidR="007A448B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organa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.</w:t>
      </w:r>
    </w:p>
    <w:p w:rsidR="00371F52" w:rsidRPr="00E244C4" w:rsidRDefault="00371F52" w:rsidP="007A448B">
      <w:pPr>
        <w:pStyle w:val="BodyText"/>
        <w:tabs>
          <w:tab w:val="left" w:pos="567"/>
        </w:tabs>
        <w:ind w:left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</w:p>
    <w:p w:rsidR="00145E16" w:rsidRPr="00E244C4" w:rsidRDefault="001E54ED" w:rsidP="00DA0099">
      <w:pPr>
        <w:pStyle w:val="BodyText"/>
        <w:numPr>
          <w:ilvl w:val="0"/>
          <w:numId w:val="33"/>
        </w:numPr>
        <w:tabs>
          <w:tab w:val="left" w:pos="567"/>
        </w:tabs>
        <w:ind w:left="426" w:hanging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ENSREG je n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a svojoj petoj sjednici od 15. </w:t>
      </w:r>
      <w:r w:rsidR="002C3358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oktobra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2008. </w:t>
      </w:r>
      <w:r w:rsidR="002C3358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godine 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usvojio 10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principa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="007A448B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koj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e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treba primijeniti pri izradi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d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irektive o nuklearnoj sigurnosti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, što je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navedeno </w:t>
      </w:r>
      <w:r w:rsidR="007A448B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u zapisniku </w:t>
      </w:r>
      <w:r w:rsidR="008525F9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ENSREG-a 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</w:t>
      </w:r>
      <w:r w:rsidR="002C3358" w:rsidRPr="00E244C4">
        <w:rPr>
          <w:rFonts w:ascii="Verdana" w:eastAsia="Cambria" w:hAnsi="Verdana"/>
          <w:color w:val="1A171C"/>
          <w:sz w:val="20"/>
          <w:szCs w:val="20"/>
          <w:lang w:val="hr-HR"/>
        </w:rPr>
        <w:t>d 20. novembra</w:t>
      </w:r>
      <w:r w:rsidR="00145E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2008.</w:t>
      </w:r>
      <w:r w:rsidR="002C3358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godine.</w:t>
      </w:r>
    </w:p>
    <w:p w:rsidR="00371F52" w:rsidRPr="00E244C4" w:rsidRDefault="00371F52" w:rsidP="007A448B">
      <w:pPr>
        <w:pStyle w:val="BodyText"/>
        <w:tabs>
          <w:tab w:val="left" w:pos="567"/>
        </w:tabs>
        <w:ind w:left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</w:p>
    <w:p w:rsidR="00145E16" w:rsidRPr="00E244C4" w:rsidRDefault="00145E16" w:rsidP="00DA0099">
      <w:pPr>
        <w:pStyle w:val="BodyText"/>
        <w:numPr>
          <w:ilvl w:val="0"/>
          <w:numId w:val="33"/>
        </w:numPr>
        <w:tabs>
          <w:tab w:val="left" w:pos="567"/>
        </w:tabs>
        <w:ind w:left="426" w:hanging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Napredak u nuklearnoj tehnologiji, </w:t>
      </w:r>
      <w:r w:rsidR="006F615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iskustva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stečen</w:t>
      </w:r>
      <w:r w:rsidR="006F615E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a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iz</w:t>
      </w:r>
      <w:r w:rsidR="006F615E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operativnog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rada i </w:t>
      </w:r>
      <w:r w:rsidR="006F615E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istraživanja o sigurnosti te poboljšanja regulatorn</w:t>
      </w:r>
      <w:r w:rsidR="008677BF" w:rsidRPr="00E244C4">
        <w:rPr>
          <w:rFonts w:ascii="Verdana" w:eastAsia="Cambria" w:hAnsi="Verdana"/>
          <w:color w:val="1A171C"/>
          <w:sz w:val="20"/>
          <w:szCs w:val="20"/>
          <w:lang w:val="hr-HR"/>
        </w:rPr>
        <w:t>ih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okvira mogli bi imati potencijal </w:t>
      </w:r>
      <w:r w:rsidR="006F615E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za dalje </w:t>
      </w:r>
      <w:r w:rsidR="006F615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unapređenje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sigurnosti. U </w:t>
      </w:r>
      <w:r w:rsidR="006F615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pridržavanju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svoj</w:t>
      </w:r>
      <w:r w:rsidR="006F615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ob</w:t>
      </w:r>
      <w:r w:rsidR="00306B3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vez</w:t>
      </w:r>
      <w:r w:rsidR="006F615E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e da održe i </w:t>
      </w:r>
      <w:r w:rsidR="006F615E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  <w:t xml:space="preserve">unaprijede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sigurnost, države članice</w:t>
      </w:r>
      <w:r w:rsidR="006F615E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bi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trebale uzeti te </w:t>
      </w:r>
      <w:r w:rsidR="00306B3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faktore</w:t>
      </w:r>
      <w:r w:rsidR="006F615E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u obzir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kada budu </w:t>
      </w:r>
      <w:r w:rsidR="006F615E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proširivale svoje programe nuklearn</w:t>
      </w:r>
      <w:r w:rsidR="008677BF" w:rsidRPr="00E244C4">
        <w:rPr>
          <w:rFonts w:ascii="Verdana" w:eastAsia="Cambria" w:hAnsi="Verdana"/>
          <w:color w:val="1A171C"/>
          <w:sz w:val="20"/>
          <w:szCs w:val="20"/>
          <w:lang w:val="hr-HR"/>
        </w:rPr>
        <w:t>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energij</w:t>
      </w:r>
      <w:r w:rsidR="008677BF" w:rsidRPr="00E244C4">
        <w:rPr>
          <w:rFonts w:ascii="Verdana" w:eastAsia="Cambria" w:hAnsi="Verdana"/>
          <w:color w:val="1A171C"/>
          <w:sz w:val="20"/>
          <w:szCs w:val="20"/>
          <w:lang w:val="hr-HR"/>
        </w:rPr>
        <w:t>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ili odlučivale o </w:t>
      </w:r>
      <w:r w:rsidR="008677BF" w:rsidRPr="00E244C4">
        <w:rPr>
          <w:rFonts w:ascii="Verdana" w:eastAsia="Cambria" w:hAnsi="Verdana"/>
          <w:color w:val="1A171C"/>
          <w:sz w:val="20"/>
          <w:szCs w:val="20"/>
          <w:lang w:val="hr-HR"/>
        </w:rPr>
        <w:t>upotrebi nuklearne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="006F615E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energiju po prvi put.</w:t>
      </w:r>
    </w:p>
    <w:p w:rsidR="00371F52" w:rsidRPr="00E244C4" w:rsidRDefault="00371F52" w:rsidP="007A448B">
      <w:pPr>
        <w:pStyle w:val="BodyText"/>
        <w:tabs>
          <w:tab w:val="left" w:pos="567"/>
        </w:tabs>
        <w:ind w:left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</w:p>
    <w:p w:rsidR="00145E16" w:rsidRPr="00E244C4" w:rsidRDefault="00145E16" w:rsidP="00DA0099">
      <w:pPr>
        <w:pStyle w:val="BodyText"/>
        <w:numPr>
          <w:ilvl w:val="0"/>
          <w:numId w:val="33"/>
        </w:numPr>
        <w:tabs>
          <w:tab w:val="left" w:pos="567"/>
        </w:tabs>
        <w:ind w:left="426" w:hanging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Uspostavljanje </w:t>
      </w:r>
      <w:r w:rsidR="00652BB7" w:rsidRPr="00E244C4">
        <w:rPr>
          <w:rFonts w:ascii="Verdana" w:eastAsia="Cambria" w:hAnsi="Verdana"/>
          <w:color w:val="1A171C"/>
          <w:sz w:val="20"/>
          <w:szCs w:val="20"/>
          <w:lang w:val="hr-HR"/>
        </w:rPr>
        <w:t>jake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kulture sigurnosti unutar nuklearnog </w:t>
      </w:r>
      <w:r w:rsidR="00753B05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objekata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jed</w:t>
      </w:r>
      <w:r w:rsidR="008677BF" w:rsidRPr="00E244C4">
        <w:rPr>
          <w:rFonts w:ascii="Verdana" w:eastAsia="Cambria" w:hAnsi="Verdana"/>
          <w:color w:val="1A171C"/>
          <w:sz w:val="20"/>
          <w:szCs w:val="20"/>
          <w:lang w:val="hr-HR"/>
        </w:rPr>
        <w:t>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n je od </w:t>
      </w:r>
      <w:r w:rsidR="007A448B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temeljnih </w:t>
      </w:r>
      <w:r w:rsidR="007A448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principa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upravljanja sigurnošću potrebnih za </w:t>
      </w:r>
      <w:r w:rsidR="008677BF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ostvarivanje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sigurnog rada</w:t>
      </w:r>
      <w:r w:rsidR="008677BF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="008677BF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  <w:t>objekta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.</w:t>
      </w:r>
    </w:p>
    <w:p w:rsidR="00371F52" w:rsidRPr="00E244C4" w:rsidRDefault="00371F52" w:rsidP="007A448B">
      <w:pPr>
        <w:pStyle w:val="BodyText"/>
        <w:tabs>
          <w:tab w:val="left" w:pos="567"/>
        </w:tabs>
        <w:ind w:left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</w:p>
    <w:p w:rsidR="00145E16" w:rsidRPr="00E244C4" w:rsidRDefault="00145E16" w:rsidP="00DA0099">
      <w:pPr>
        <w:pStyle w:val="BodyText"/>
        <w:numPr>
          <w:ilvl w:val="0"/>
          <w:numId w:val="33"/>
        </w:numPr>
        <w:tabs>
          <w:tab w:val="left" w:pos="567"/>
        </w:tabs>
        <w:ind w:left="426" w:hanging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Održavanje </w:t>
      </w:r>
      <w:r w:rsidR="00652BB7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i dalji razvoj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stručnosti i vještina u </w:t>
      </w:r>
      <w:r w:rsidR="00652BB7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oblasti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nuklearne sigurnosti </w:t>
      </w:r>
      <w:r w:rsidR="00652BB7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bi se </w:t>
      </w:r>
      <w:r w:rsidR="00652BB7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trebali </w:t>
      </w:r>
      <w:r w:rsidR="00652BB7" w:rsidRPr="00E244C4">
        <w:rPr>
          <w:rFonts w:ascii="Verdana" w:eastAsia="Cambria" w:hAnsi="Verdana"/>
          <w:color w:val="1A171C"/>
          <w:sz w:val="20"/>
          <w:szCs w:val="20"/>
          <w:lang w:val="hr-HR"/>
        </w:rPr>
        <w:t>zasnivati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="00A50CE8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između ostalog i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na p</w:t>
      </w:r>
      <w:r w:rsidR="00652BB7" w:rsidRPr="00E244C4">
        <w:rPr>
          <w:rFonts w:ascii="Verdana" w:eastAsia="Cambria" w:hAnsi="Verdana"/>
          <w:color w:val="1A171C"/>
          <w:sz w:val="20"/>
          <w:szCs w:val="20"/>
          <w:lang w:val="hr-HR"/>
        </w:rPr>
        <w:t>rocesu učenja iz ranijih operativnih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="007A448B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="00652BB7" w:rsidRPr="00E244C4">
        <w:rPr>
          <w:rFonts w:ascii="Verdana" w:eastAsia="Cambria" w:hAnsi="Verdana"/>
          <w:color w:val="1A171C"/>
          <w:sz w:val="20"/>
          <w:szCs w:val="20"/>
          <w:lang w:val="hr-HR"/>
        </w:rPr>
        <w:t>i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skustava</w:t>
      </w:r>
      <w:r w:rsidR="00652BB7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i, po potrebi, primjeni</w:t>
      </w:r>
      <w:r w:rsidR="00BE1B1C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unapređenja</w:t>
      </w:r>
      <w:r w:rsidR="00652BB7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u metodologiji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i </w:t>
      </w:r>
      <w:r w:rsidR="00652BB7" w:rsidRPr="00E244C4">
        <w:rPr>
          <w:rFonts w:ascii="Verdana" w:eastAsia="Cambria" w:hAnsi="Verdana"/>
          <w:color w:val="1A171C"/>
          <w:sz w:val="20"/>
          <w:szCs w:val="20"/>
          <w:lang w:val="hr-HR"/>
        </w:rPr>
        <w:t>nauci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.</w:t>
      </w:r>
    </w:p>
    <w:p w:rsidR="00371F52" w:rsidRPr="00E244C4" w:rsidRDefault="00371F52" w:rsidP="007A448B">
      <w:pPr>
        <w:pStyle w:val="BodyText"/>
        <w:tabs>
          <w:tab w:val="left" w:pos="567"/>
        </w:tabs>
        <w:ind w:left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</w:p>
    <w:p w:rsidR="009360E1" w:rsidRPr="00E244C4" w:rsidRDefault="00145E16" w:rsidP="009360E1">
      <w:pPr>
        <w:pStyle w:val="BodyText"/>
        <w:numPr>
          <w:ilvl w:val="0"/>
          <w:numId w:val="33"/>
        </w:numPr>
        <w:tabs>
          <w:tab w:val="left" w:pos="567"/>
        </w:tabs>
        <w:ind w:left="426" w:hanging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Ranije su se samoprocjene provodile u državama članicama u bliskoj </w:t>
      </w:r>
      <w:r w:rsidR="00862855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vezi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s</w:t>
      </w:r>
      <w:r w:rsidR="0084157F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="0084157F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međunarodnim </w:t>
      </w:r>
      <w:r w:rsidR="000F34A8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stručnim </w:t>
      </w:r>
      <w:r w:rsidR="007A448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pre</w:t>
      </w:r>
      <w:r w:rsidR="00BE1B1C" w:rsidRPr="00E244C4">
        <w:rPr>
          <w:rFonts w:ascii="Verdana" w:eastAsia="Cambria" w:hAnsi="Verdana"/>
          <w:color w:val="1A171C"/>
          <w:sz w:val="20"/>
          <w:szCs w:val="20"/>
          <w:lang w:val="hr-HR"/>
        </w:rPr>
        <w:t>ispitivanjima</w:t>
      </w:r>
      <w:r w:rsidR="007A448B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pod pokroviteljstvom IAEA-e u </w:t>
      </w:r>
      <w:r w:rsidR="007A448B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="00116188" w:rsidRPr="00E244C4">
        <w:rPr>
          <w:rFonts w:ascii="Verdana" w:eastAsia="Cambria" w:hAnsi="Verdana"/>
          <w:color w:val="1A171C"/>
          <w:sz w:val="20"/>
          <w:szCs w:val="20"/>
          <w:lang w:val="hr-HR"/>
        </w:rPr>
        <w:t>vidu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misija </w:t>
      </w:r>
      <w:r w:rsidR="00BE1B1C" w:rsidRPr="00E244C4">
        <w:rPr>
          <w:rFonts w:ascii="Verdana" w:eastAsia="Cambria" w:hAnsi="Verdana"/>
          <w:color w:val="1A171C"/>
          <w:sz w:val="20"/>
          <w:szCs w:val="20"/>
          <w:lang w:val="hr-HR"/>
        </w:rPr>
        <w:t>m</w:t>
      </w:r>
      <w:r w:rsidR="00116188" w:rsidRPr="00E244C4">
        <w:rPr>
          <w:rFonts w:ascii="Verdana" w:eastAsia="Cambria" w:hAnsi="Verdana"/>
          <w:color w:val="1A171C"/>
          <w:sz w:val="20"/>
          <w:szCs w:val="20"/>
          <w:lang w:val="hr-HR"/>
        </w:rPr>
        <w:t>eđunarodnog tima za regulatorni pregled ili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="000F34A8" w:rsidRPr="00E244C4">
        <w:rPr>
          <w:rFonts w:ascii="Verdana" w:eastAsia="Cambria" w:hAnsi="Verdana"/>
          <w:color w:val="1A171C"/>
          <w:sz w:val="20"/>
          <w:szCs w:val="20"/>
          <w:lang w:val="hr-HR"/>
        </w:rPr>
        <w:t>misija u okviru u</w:t>
      </w:r>
      <w:r w:rsidR="004441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slug</w:t>
      </w:r>
      <w:r w:rsidR="00A450C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e</w:t>
      </w:r>
      <w:r w:rsidR="0084157F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="0084157F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="00116188" w:rsidRPr="00E244C4">
        <w:rPr>
          <w:rFonts w:ascii="Verdana" w:eastAsia="Cambria" w:hAnsi="Verdana"/>
          <w:color w:val="1A171C"/>
          <w:sz w:val="20"/>
          <w:szCs w:val="20"/>
          <w:lang w:val="hr-HR"/>
        </w:rPr>
        <w:t>i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ntegri</w:t>
      </w:r>
      <w:r w:rsidR="00441663" w:rsidRPr="00E244C4">
        <w:rPr>
          <w:rFonts w:ascii="Verdana" w:eastAsia="Cambria" w:hAnsi="Verdana"/>
          <w:color w:val="1A171C"/>
          <w:sz w:val="20"/>
          <w:szCs w:val="20"/>
          <w:lang w:val="hr-HR"/>
        </w:rPr>
        <w:t>s</w:t>
      </w:r>
      <w:r w:rsidR="00116188" w:rsidRPr="00E244C4">
        <w:rPr>
          <w:rFonts w:ascii="Verdana" w:eastAsia="Cambria" w:hAnsi="Verdana"/>
          <w:color w:val="1A171C"/>
          <w:sz w:val="20"/>
          <w:szCs w:val="20"/>
          <w:lang w:val="hr-HR"/>
        </w:rPr>
        <w:t>an</w:t>
      </w:r>
      <w:r w:rsidR="004441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og</w:t>
      </w:r>
      <w:r w:rsidR="00116188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regulatorn</w:t>
      </w:r>
      <w:r w:rsidR="004441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og</w:t>
      </w:r>
      <w:r w:rsidR="00116188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pregled</w:t>
      </w:r>
      <w:r w:rsidR="004441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. </w:t>
      </w:r>
      <w:r w:rsidR="000F34A8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Obavljanje takvih misija i pozivi država članica </w:t>
      </w:r>
      <w:r w:rsidR="000F34A8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  <w:t>na misije su bili dobrovoljni,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u duhu otvorenosti i </w:t>
      </w:r>
      <w:r w:rsidR="0084157F" w:rsidRPr="00E244C4">
        <w:rPr>
          <w:rFonts w:ascii="Verdana" w:eastAsia="Cambria" w:hAnsi="Verdana"/>
          <w:color w:val="1A171C"/>
          <w:sz w:val="20"/>
          <w:szCs w:val="20"/>
          <w:lang w:val="hr-HR"/>
        </w:rPr>
        <w:t>transparentnosti.</w:t>
      </w:r>
      <w:r w:rsidR="004441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Samoprocjene i p</w:t>
      </w:r>
      <w:r w:rsidR="004441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rateć</w:t>
      </w:r>
      <w:r w:rsidR="000F34A8" w:rsidRPr="00E244C4">
        <w:rPr>
          <w:rFonts w:ascii="Verdana" w:eastAsia="Cambria" w:hAnsi="Verdana"/>
          <w:color w:val="1A171C"/>
          <w:sz w:val="20"/>
          <w:szCs w:val="20"/>
          <w:lang w:val="hr-HR"/>
        </w:rPr>
        <w:t>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="004441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stručn</w:t>
      </w:r>
      <w:r w:rsidR="000F34A8" w:rsidRPr="00E244C4">
        <w:rPr>
          <w:rFonts w:ascii="Verdana" w:eastAsia="Cambria" w:hAnsi="Verdana"/>
          <w:color w:val="1A171C"/>
          <w:sz w:val="20"/>
          <w:szCs w:val="20"/>
          <w:lang w:val="hr-HR"/>
        </w:rPr>
        <w:t>a preispitivanja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zakonodavne, regulatorne i </w:t>
      </w:r>
      <w:r w:rsidR="000F34A8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organizaci</w:t>
      </w:r>
      <w:r w:rsidR="004441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one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infrastrukture bi </w:t>
      </w:r>
      <w:r w:rsidR="004441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trebali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biti </w:t>
      </w:r>
      <w:r w:rsidR="0084157F" w:rsidRPr="00E244C4">
        <w:rPr>
          <w:rFonts w:ascii="Verdana" w:eastAsia="Cambria" w:hAnsi="Verdana"/>
          <w:color w:val="1A171C"/>
          <w:sz w:val="20"/>
          <w:szCs w:val="20"/>
          <w:lang w:val="hr-HR"/>
        </w:rPr>
        <w:t>imati za cilj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jačanje i unapređivanje </w:t>
      </w:r>
      <w:r w:rsidR="000F34A8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="00A63118" w:rsidRPr="00E244C4">
        <w:rPr>
          <w:rFonts w:ascii="Verdana" w:eastAsia="Cambria" w:hAnsi="Verdana"/>
          <w:color w:val="1A171C"/>
          <w:sz w:val="20"/>
          <w:szCs w:val="20"/>
          <w:lang w:val="hr-HR"/>
        </w:rPr>
        <w:t>državnih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okvira država članica</w:t>
      </w:r>
      <w:r w:rsidR="0084157F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uz priznavanje</w:t>
      </w:r>
      <w:r w:rsidR="0084157F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njihov</w:t>
      </w:r>
      <w:r w:rsidR="00197931" w:rsidRPr="00E244C4">
        <w:rPr>
          <w:rFonts w:ascii="Verdana" w:eastAsia="Cambria" w:hAnsi="Verdana"/>
          <w:color w:val="1A171C"/>
          <w:sz w:val="20"/>
          <w:szCs w:val="20"/>
          <w:lang w:val="hr-HR"/>
        </w:rPr>
        <w:t>ih nadležnosti</w:t>
      </w:r>
      <w:r w:rsidR="0084157F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="00444116" w:rsidRPr="00E244C4">
        <w:rPr>
          <w:rFonts w:ascii="Verdana" w:eastAsia="Cambria" w:hAnsi="Verdana"/>
          <w:color w:val="1A171C"/>
          <w:sz w:val="20"/>
          <w:szCs w:val="20"/>
          <w:lang w:val="hr-HR"/>
        </w:rPr>
        <w:t>u osiguravanju</w:t>
      </w:r>
      <w:r w:rsidR="0084157F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="000F34A8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="007C3C27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nuklearne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sigurnosti nuklearnih </w:t>
      </w:r>
      <w:r w:rsidR="00753B05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objekata</w:t>
      </w:r>
      <w:r w:rsidR="00197931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na njihovoj teritoriji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. Samoprocjene i </w:t>
      </w:r>
      <w:r w:rsidR="00197931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stručn</w:t>
      </w:r>
      <w:r w:rsidR="000F34A8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a </w:t>
      </w:r>
      <w:r w:rsidR="00E244C4" w:rsidRPr="00E244C4">
        <w:rPr>
          <w:rFonts w:ascii="Verdana" w:eastAsia="Cambria" w:hAnsi="Verdana"/>
          <w:color w:val="1A171C"/>
          <w:sz w:val="20"/>
          <w:szCs w:val="20"/>
          <w:lang w:val="hr-HR"/>
        </w:rPr>
        <w:t>preispitivanja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="000F34A8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nakon njih nisu ni inspekcija ni revizija, već su mehanizam </w:t>
      </w:r>
      <w:r w:rsidR="00EB6332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uzajamnog učenja koji </w:t>
      </w:r>
      <w:r w:rsidR="004C389F" w:rsidRPr="00E244C4">
        <w:rPr>
          <w:rFonts w:ascii="Verdana" w:eastAsia="Cambria" w:hAnsi="Verdana"/>
          <w:color w:val="1A171C"/>
          <w:sz w:val="20"/>
          <w:szCs w:val="20"/>
          <w:lang w:val="hr-HR"/>
        </w:rPr>
        <w:t>prihvata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različite pristupe organizaciji i praks</w:t>
      </w:r>
      <w:r w:rsidR="004C389F" w:rsidRPr="00E244C4">
        <w:rPr>
          <w:rFonts w:ascii="Verdana" w:eastAsia="Cambria" w:hAnsi="Verdana"/>
          <w:color w:val="1A171C"/>
          <w:sz w:val="20"/>
          <w:szCs w:val="20"/>
          <w:lang w:val="hr-HR"/>
        </w:rPr>
        <w:t>ama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nadležnog </w:t>
      </w:r>
      <w:r w:rsidR="000F34A8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regulatornog </w:t>
      </w:r>
      <w:r w:rsidR="007A448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organa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pri razmatranju regulatornih, tehničkih i političkih pitanja </w:t>
      </w:r>
      <w:r w:rsidR="000F34A8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države članice koja doprinose osiguravanju čvrstog režima nuklearne sigurnosti. </w:t>
      </w:r>
      <w:r w:rsidR="000F34A8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Međunarodn</w:t>
      </w:r>
      <w:r w:rsidR="000F34A8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a stručna preispitivanja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bi </w:t>
      </w:r>
      <w:r w:rsidR="007A448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trebalo</w:t>
      </w:r>
      <w:r w:rsidR="00CF4A36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smatrati pri</w:t>
      </w:r>
      <w:r w:rsidR="00441663" w:rsidRPr="00E244C4">
        <w:rPr>
          <w:rFonts w:ascii="Verdana" w:eastAsia="Cambria" w:hAnsi="Verdana"/>
          <w:color w:val="1A171C"/>
          <w:sz w:val="20"/>
          <w:szCs w:val="20"/>
          <w:lang w:val="hr-HR"/>
        </w:rPr>
        <w:t>liko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m za razmjenu </w:t>
      </w:r>
      <w:r w:rsidR="000F34A8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profesionalnog </w:t>
      </w:r>
      <w:r w:rsidR="004C389F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iskustva te razmjenu stečenih </w:t>
      </w:r>
      <w:r w:rsidR="00B13892" w:rsidRPr="00E244C4">
        <w:rPr>
          <w:rFonts w:ascii="Verdana" w:eastAsia="Cambria" w:hAnsi="Verdana"/>
          <w:color w:val="1A171C"/>
          <w:sz w:val="20"/>
          <w:szCs w:val="20"/>
          <w:lang w:val="hr-HR"/>
        </w:rPr>
        <w:t>iskustava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i dobr</w:t>
      </w:r>
      <w:r w:rsidR="00EB6332" w:rsidRPr="00E244C4">
        <w:rPr>
          <w:rFonts w:ascii="Verdana" w:eastAsia="Cambria" w:hAnsi="Verdana"/>
          <w:color w:val="1A171C"/>
          <w:sz w:val="20"/>
          <w:szCs w:val="20"/>
          <w:lang w:val="hr-HR"/>
        </w:rPr>
        <w:t>ih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praks</w:t>
      </w:r>
      <w:r w:rsidR="00EB6332" w:rsidRPr="00E244C4">
        <w:rPr>
          <w:rFonts w:ascii="Verdana" w:eastAsia="Cambria" w:hAnsi="Verdana"/>
          <w:color w:val="1A171C"/>
          <w:sz w:val="20"/>
          <w:szCs w:val="20"/>
          <w:lang w:val="hr-HR"/>
        </w:rPr>
        <w:t>i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u duhu </w:t>
      </w:r>
      <w:r w:rsidR="000F34A8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otvorenosti i s</w:t>
      </w:r>
      <w:r w:rsidR="004C389F" w:rsidRPr="00E244C4">
        <w:rPr>
          <w:rFonts w:ascii="Verdana" w:eastAsia="Cambria" w:hAnsi="Verdana"/>
          <w:color w:val="1A171C"/>
          <w:sz w:val="20"/>
          <w:szCs w:val="20"/>
          <w:lang w:val="hr-HR"/>
        </w:rPr>
        <w:t>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radnje putem savjeta </w:t>
      </w:r>
      <w:r w:rsidR="004C389F" w:rsidRPr="00E244C4">
        <w:rPr>
          <w:rFonts w:ascii="Verdana" w:eastAsia="Cambria" w:hAnsi="Verdana"/>
          <w:color w:val="1A171C"/>
          <w:sz w:val="20"/>
          <w:szCs w:val="20"/>
          <w:lang w:val="hr-HR"/>
        </w:rPr>
        <w:t>kolega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, a ne putem kontrole ili </w:t>
      </w:r>
      <w:r w:rsidR="000F34A8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prosuđivanja. P</w:t>
      </w:r>
      <w:r w:rsidR="004C389F" w:rsidRPr="00E244C4">
        <w:rPr>
          <w:rFonts w:ascii="Verdana" w:eastAsia="Cambria" w:hAnsi="Verdana"/>
          <w:color w:val="1A171C"/>
          <w:sz w:val="20"/>
          <w:szCs w:val="20"/>
          <w:lang w:val="hr-HR"/>
        </w:rPr>
        <w:t>riznajući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da postoji potreba za fleksibilnošću i </w:t>
      </w:r>
      <w:r w:rsidR="00601807" w:rsidRPr="00E244C4">
        <w:rPr>
          <w:rFonts w:ascii="Verdana" w:eastAsia="Cambria" w:hAnsi="Verdana"/>
          <w:color w:val="1A171C"/>
          <w:sz w:val="20"/>
          <w:szCs w:val="20"/>
          <w:lang w:val="hr-HR"/>
        </w:rPr>
        <w:t>primjerenošću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s </w:t>
      </w:r>
      <w:r w:rsidR="000F34A8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obzirom na različite</w:t>
      </w:r>
      <w:r w:rsidR="00601807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postojeće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s</w:t>
      </w:r>
      <w:r w:rsidR="007A448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isteme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u državama članicama, </w:t>
      </w:r>
      <w:r w:rsidR="00601807" w:rsidRPr="00E244C4">
        <w:rPr>
          <w:rFonts w:ascii="Verdana" w:eastAsia="Cambria" w:hAnsi="Verdana"/>
          <w:color w:val="1A171C"/>
          <w:sz w:val="20"/>
          <w:szCs w:val="20"/>
          <w:lang w:val="hr-HR"/>
        </w:rPr>
        <w:t>država članica bi</w:t>
      </w:r>
      <w:r w:rsidR="009360E1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="00601807" w:rsidRPr="00E244C4">
        <w:rPr>
          <w:rFonts w:ascii="Verdana" w:eastAsia="Cambria" w:hAnsi="Verdana"/>
          <w:color w:val="1A171C"/>
          <w:sz w:val="20"/>
          <w:szCs w:val="20"/>
          <w:lang w:val="hr-HR"/>
        </w:rPr>
        <w:t>trebala imati slobodu da odredi segmente svog sistema</w:t>
      </w:r>
      <w:r w:rsidR="009360E1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koji podliježu konkretnom </w:t>
      </w:r>
      <w:r w:rsidR="00EB6332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="009360E1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stručnom </w:t>
      </w:r>
      <w:r w:rsidR="00E244C4" w:rsidRPr="00E244C4">
        <w:rPr>
          <w:rFonts w:ascii="Verdana" w:eastAsia="Cambria" w:hAnsi="Verdana"/>
          <w:color w:val="1A171C"/>
          <w:sz w:val="20"/>
          <w:szCs w:val="20"/>
          <w:lang w:val="hr-HR"/>
        </w:rPr>
        <w:t>preispitivanju</w:t>
      </w:r>
      <w:r w:rsidR="009360E1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na koje je pozvano</w:t>
      </w:r>
      <w:r w:rsidR="00EB6332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, a u cilju kontinuiranog poboljšavanja </w:t>
      </w:r>
      <w:r w:rsidR="00EB6332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  <w:t>nuklearne sigurnosti</w:t>
      </w:r>
      <w:r w:rsidR="009360E1" w:rsidRPr="00E244C4">
        <w:rPr>
          <w:rFonts w:ascii="Verdana" w:eastAsia="Cambria" w:hAnsi="Verdana"/>
          <w:color w:val="1A171C"/>
          <w:sz w:val="20"/>
          <w:szCs w:val="20"/>
          <w:lang w:val="hr-HR"/>
        </w:rPr>
        <w:t>.</w:t>
      </w:r>
    </w:p>
    <w:p w:rsidR="009360E1" w:rsidRPr="00E244C4" w:rsidRDefault="009360E1" w:rsidP="009360E1">
      <w:pPr>
        <w:pStyle w:val="BodyText"/>
        <w:tabs>
          <w:tab w:val="left" w:pos="567"/>
        </w:tabs>
        <w:ind w:left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</w:p>
    <w:p w:rsidR="00145E16" w:rsidRPr="00E244C4" w:rsidRDefault="00145E16" w:rsidP="00DA0099">
      <w:pPr>
        <w:pStyle w:val="BodyText"/>
        <w:numPr>
          <w:ilvl w:val="0"/>
          <w:numId w:val="33"/>
        </w:numPr>
        <w:tabs>
          <w:tab w:val="left" w:pos="567"/>
        </w:tabs>
        <w:ind w:left="426" w:hanging="426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U skladu s t</w:t>
      </w:r>
      <w:r w:rsidR="005270D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a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čkom 34. Međuinstitucionalnog sporazuma o bolj</w:t>
      </w:r>
      <w:r w:rsidR="009B4C60" w:rsidRPr="00E244C4">
        <w:rPr>
          <w:rFonts w:ascii="Verdana" w:eastAsia="Cambria" w:hAnsi="Verdana"/>
          <w:color w:val="1A171C"/>
          <w:sz w:val="20"/>
          <w:szCs w:val="20"/>
          <w:lang w:val="hr-HR"/>
        </w:rPr>
        <w:t>oj izradi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="009B4C60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zakonodavstv</w:t>
      </w:r>
      <w:r w:rsidR="009B4C60" w:rsidRPr="00E244C4">
        <w:rPr>
          <w:rFonts w:ascii="Verdana" w:eastAsia="Cambria" w:hAnsi="Verdana"/>
          <w:color w:val="1A171C"/>
          <w:sz w:val="20"/>
          <w:szCs w:val="20"/>
          <w:lang w:val="hr-HR"/>
        </w:rPr>
        <w:t>a</w:t>
      </w:r>
      <w:r w:rsidR="00A63118" w:rsidRPr="00E244C4">
        <w:rPr>
          <w:rFonts w:ascii="Verdana" w:hAnsi="Verdana"/>
          <w:sz w:val="20"/>
          <w:szCs w:val="20"/>
          <w:vertAlign w:val="superscript"/>
          <w:lang w:val="hr-HR"/>
        </w:rPr>
        <w:footnoteReference w:id="10"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, države članice se po</w:t>
      </w:r>
      <w:r w:rsidR="005270D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ds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tič</w:t>
      </w:r>
      <w:r w:rsidR="005270D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u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da za svoje potrebe i u interesu </w:t>
      </w:r>
      <w:r w:rsidR="009B4C60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Zajednice </w:t>
      </w:r>
      <w:r w:rsidR="009B4C60" w:rsidRPr="00E244C4">
        <w:rPr>
          <w:rFonts w:ascii="Verdana" w:eastAsia="Cambria" w:hAnsi="Verdana"/>
          <w:color w:val="1A171C"/>
          <w:sz w:val="20"/>
          <w:szCs w:val="20"/>
          <w:lang w:val="hr-HR"/>
        </w:rPr>
        <w:t>sačine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vlastite tab</w:t>
      </w:r>
      <w:r w:rsidR="005270DE" w:rsidRPr="00E244C4">
        <w:rPr>
          <w:rFonts w:ascii="Verdana" w:eastAsia="Cambria" w:hAnsi="Verdana"/>
          <w:color w:val="1A171C"/>
          <w:sz w:val="20"/>
          <w:szCs w:val="20"/>
          <w:lang w:val="hr-HR"/>
        </w:rPr>
        <w:t>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le u kojima </w:t>
      </w:r>
      <w:r w:rsidR="00B563C2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se </w:t>
      </w:r>
      <w:r w:rsidR="00EB6332" w:rsidRPr="00E244C4">
        <w:rPr>
          <w:rFonts w:ascii="Verdana" w:eastAsia="Cambria" w:hAnsi="Verdana"/>
          <w:color w:val="1A171C"/>
          <w:sz w:val="20"/>
          <w:szCs w:val="20"/>
          <w:lang w:val="hr-HR"/>
        </w:rPr>
        <w:t>koliko god je to moguće</w:t>
      </w:r>
      <w:r w:rsidR="009B4C60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prikazuje </w:t>
      </w:r>
      <w:r w:rsidR="00EB6332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  <w:t>međusobna povezanost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između ove </w:t>
      </w:r>
      <w:r w:rsidR="007A448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d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irektive i mjera </w:t>
      </w:r>
      <w:r w:rsidR="009B4C60" w:rsidRPr="00E244C4">
        <w:rPr>
          <w:rFonts w:ascii="Verdana" w:eastAsia="Cambria" w:hAnsi="Verdana"/>
          <w:color w:val="1A171C"/>
          <w:sz w:val="20"/>
          <w:szCs w:val="20"/>
          <w:lang w:val="hr-HR"/>
        </w:rPr>
        <w:t>transpozicije</w:t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, te da javno </w:t>
      </w:r>
      <w:r w:rsidR="00EB6332" w:rsidRPr="00E244C4">
        <w:rPr>
          <w:rFonts w:ascii="Verdana" w:eastAsia="Cambria" w:hAnsi="Verdana"/>
          <w:color w:val="1A171C"/>
          <w:sz w:val="20"/>
          <w:szCs w:val="20"/>
          <w:lang w:val="hr-HR"/>
        </w:rPr>
        <w:tab/>
      </w:r>
      <w:r w:rsidRPr="00E244C4">
        <w:rPr>
          <w:rFonts w:ascii="Verdana" w:eastAsia="Cambria" w:hAnsi="Verdana"/>
          <w:color w:val="1A171C"/>
          <w:sz w:val="20"/>
          <w:szCs w:val="20"/>
          <w:lang w:val="hr-HR"/>
        </w:rPr>
        <w:t>objave</w:t>
      </w:r>
      <w:r w:rsidR="00EB6332" w:rsidRPr="00E244C4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te tabele</w:t>
      </w:r>
      <w:r w:rsidR="007A448B" w:rsidRPr="00E244C4">
        <w:rPr>
          <w:rFonts w:ascii="Verdana" w:eastAsia="Cambria" w:hAnsi="Verdana"/>
          <w:color w:val="1A171C"/>
          <w:sz w:val="20"/>
          <w:szCs w:val="20"/>
          <w:lang w:val="hr-HR"/>
        </w:rPr>
        <w:t>.</w:t>
      </w:r>
    </w:p>
    <w:p w:rsidR="005270DE" w:rsidRPr="00E244C4" w:rsidRDefault="005270DE" w:rsidP="005270DE">
      <w:pPr>
        <w:rPr>
          <w:rFonts w:eastAsia="Times New Roman" w:cs="Times New Roman"/>
          <w:szCs w:val="20"/>
          <w:lang w:val="hr-HR" w:eastAsia="en-GB"/>
        </w:rPr>
      </w:pPr>
    </w:p>
    <w:p w:rsidR="008677BF" w:rsidRPr="00E244C4" w:rsidRDefault="008677BF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5270DE">
      <w:pPr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lastRenderedPageBreak/>
        <w:t>DONIJELO JE OVU DIREKTIVU:</w:t>
      </w:r>
    </w:p>
    <w:p w:rsidR="008C67A8" w:rsidRPr="00E244C4" w:rsidRDefault="008C67A8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8C67A8">
      <w:pPr>
        <w:jc w:val="center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POGLAVLJE 1</w:t>
      </w:r>
    </w:p>
    <w:p w:rsidR="00371F52" w:rsidRPr="00E244C4" w:rsidRDefault="00371F52" w:rsidP="008C67A8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E244C4">
        <w:rPr>
          <w:rFonts w:eastAsia="Times New Roman" w:cs="Times New Roman"/>
          <w:b/>
          <w:szCs w:val="20"/>
          <w:lang w:val="hr-HR" w:eastAsia="en-GB"/>
        </w:rPr>
        <w:t xml:space="preserve">CILJEVI, </w:t>
      </w:r>
      <w:r w:rsidR="00B563C2" w:rsidRPr="00E244C4">
        <w:rPr>
          <w:rFonts w:eastAsia="Times New Roman" w:cs="Times New Roman"/>
          <w:b/>
          <w:szCs w:val="20"/>
          <w:lang w:val="hr-HR" w:eastAsia="en-GB"/>
        </w:rPr>
        <w:t>DJELOKRUG I DEFINICIJE</w:t>
      </w:r>
    </w:p>
    <w:p w:rsidR="00C2126A" w:rsidRPr="00E244C4" w:rsidRDefault="00C2126A" w:rsidP="005270DE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5270DE">
      <w:pPr>
        <w:jc w:val="center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Član 1.</w:t>
      </w:r>
    </w:p>
    <w:p w:rsidR="00371F52" w:rsidRPr="00E244C4" w:rsidRDefault="00371F52" w:rsidP="005270DE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E244C4">
        <w:rPr>
          <w:rFonts w:eastAsia="Times New Roman" w:cs="Times New Roman"/>
          <w:b/>
          <w:szCs w:val="20"/>
          <w:lang w:val="hr-HR" w:eastAsia="en-GB"/>
        </w:rPr>
        <w:t>Ciljevi</w:t>
      </w:r>
    </w:p>
    <w:p w:rsidR="005270DE" w:rsidRPr="00E244C4" w:rsidRDefault="005270DE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5270DE">
      <w:pPr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Ciljevi ove </w:t>
      </w:r>
      <w:r w:rsidR="00B13B05" w:rsidRPr="00E244C4">
        <w:rPr>
          <w:rFonts w:eastAsia="Times New Roman" w:cs="Times New Roman"/>
          <w:szCs w:val="20"/>
          <w:lang w:val="hr-HR" w:eastAsia="en-GB"/>
        </w:rPr>
        <w:t>d</w:t>
      </w:r>
      <w:r w:rsidRPr="00E244C4">
        <w:rPr>
          <w:rFonts w:eastAsia="Times New Roman" w:cs="Times New Roman"/>
          <w:szCs w:val="20"/>
          <w:lang w:val="hr-HR" w:eastAsia="en-GB"/>
        </w:rPr>
        <w:t>irektive su:</w:t>
      </w:r>
    </w:p>
    <w:p w:rsidR="005270DE" w:rsidRPr="00E244C4" w:rsidRDefault="005270DE" w:rsidP="005270DE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BE6029">
      <w:pPr>
        <w:pStyle w:val="ListParagraph"/>
        <w:numPr>
          <w:ilvl w:val="0"/>
          <w:numId w:val="1"/>
        </w:numPr>
        <w:ind w:left="567" w:hanging="283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uspostaviti okvir Zajednice </w:t>
      </w:r>
      <w:r w:rsidR="00BE6029" w:rsidRPr="00E244C4">
        <w:rPr>
          <w:rFonts w:eastAsia="Times New Roman" w:cs="Times New Roman"/>
          <w:szCs w:val="20"/>
          <w:lang w:val="hr-HR" w:eastAsia="en-GB"/>
        </w:rPr>
        <w:t>u cilju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održavanja i p</w:t>
      </w:r>
      <w:r w:rsidR="005270DE" w:rsidRPr="00E244C4">
        <w:rPr>
          <w:rFonts w:eastAsia="Times New Roman" w:cs="Times New Roman"/>
          <w:szCs w:val="20"/>
          <w:lang w:val="hr-HR" w:eastAsia="en-GB"/>
        </w:rPr>
        <w:t>odstica</w:t>
      </w:r>
      <w:r w:rsidRPr="00E244C4">
        <w:rPr>
          <w:rFonts w:eastAsia="Times New Roman" w:cs="Times New Roman"/>
          <w:szCs w:val="20"/>
          <w:lang w:val="hr-HR" w:eastAsia="en-GB"/>
        </w:rPr>
        <w:t xml:space="preserve">nja </w:t>
      </w:r>
      <w:r w:rsidR="00BE6029" w:rsidRPr="00E244C4">
        <w:rPr>
          <w:rFonts w:eastAsia="Times New Roman" w:cs="Times New Roman"/>
          <w:szCs w:val="20"/>
          <w:lang w:val="hr-HR" w:eastAsia="en-GB"/>
        </w:rPr>
        <w:t xml:space="preserve">kontinuiranog </w:t>
      </w:r>
      <w:r w:rsidR="00BE6029" w:rsidRPr="00E244C4">
        <w:rPr>
          <w:rFonts w:eastAsia="Times New Roman" w:cs="Times New Roman"/>
          <w:szCs w:val="20"/>
          <w:lang w:val="hr-HR" w:eastAsia="en-GB"/>
        </w:rPr>
        <w:tab/>
      </w:r>
      <w:r w:rsidRPr="00E244C4">
        <w:rPr>
          <w:rFonts w:eastAsia="Times New Roman" w:cs="Times New Roman"/>
          <w:szCs w:val="20"/>
          <w:lang w:val="hr-HR" w:eastAsia="en-GB"/>
        </w:rPr>
        <w:t>poboljšanja nuklearne sigurnosti i njenog reguli</w:t>
      </w:r>
      <w:r w:rsidR="00383FAF" w:rsidRPr="00E244C4">
        <w:rPr>
          <w:rFonts w:eastAsia="Times New Roman" w:cs="Times New Roman"/>
          <w:szCs w:val="20"/>
          <w:lang w:val="hr-HR" w:eastAsia="en-GB"/>
        </w:rPr>
        <w:t>s</w:t>
      </w:r>
      <w:r w:rsidRPr="00E244C4">
        <w:rPr>
          <w:rFonts w:eastAsia="Times New Roman" w:cs="Times New Roman"/>
          <w:szCs w:val="20"/>
          <w:lang w:val="hr-HR" w:eastAsia="en-GB"/>
        </w:rPr>
        <w:t>anja;</w:t>
      </w:r>
    </w:p>
    <w:p w:rsidR="00453A70" w:rsidRPr="00E244C4" w:rsidRDefault="00453A70" w:rsidP="00453A70">
      <w:pPr>
        <w:pStyle w:val="ListParagraph"/>
        <w:ind w:left="567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453A70">
      <w:pPr>
        <w:pStyle w:val="ListParagraph"/>
        <w:numPr>
          <w:ilvl w:val="0"/>
          <w:numId w:val="1"/>
        </w:numPr>
        <w:ind w:left="567" w:hanging="283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osigurati da države članice predvide odgovarajuće </w:t>
      </w:r>
      <w:r w:rsidR="0032341B" w:rsidRPr="00E244C4">
        <w:rPr>
          <w:rFonts w:eastAsia="Times New Roman" w:cs="Times New Roman"/>
          <w:szCs w:val="20"/>
          <w:lang w:val="hr-HR" w:eastAsia="en-GB"/>
        </w:rPr>
        <w:t>državne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mehanizme za visok </w:t>
      </w:r>
      <w:r w:rsidR="00383FAF" w:rsidRPr="00E244C4">
        <w:rPr>
          <w:rFonts w:eastAsia="Times New Roman" w:cs="Times New Roman"/>
          <w:szCs w:val="20"/>
          <w:lang w:val="hr-HR" w:eastAsia="en-GB"/>
        </w:rPr>
        <w:tab/>
        <w:t>nivo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nuklearne sigurnosti </w:t>
      </w:r>
      <w:r w:rsidR="00BE6029" w:rsidRPr="00E244C4">
        <w:rPr>
          <w:rFonts w:eastAsia="Times New Roman" w:cs="Times New Roman"/>
          <w:szCs w:val="20"/>
          <w:lang w:val="hr-HR" w:eastAsia="en-GB"/>
        </w:rPr>
        <w:t xml:space="preserve">u cilju </w:t>
      </w:r>
      <w:r w:rsidRPr="00E244C4">
        <w:rPr>
          <w:rFonts w:eastAsia="Times New Roman" w:cs="Times New Roman"/>
          <w:szCs w:val="20"/>
          <w:lang w:val="hr-HR" w:eastAsia="en-GB"/>
        </w:rPr>
        <w:t xml:space="preserve">zaštite </w:t>
      </w:r>
      <w:r w:rsidR="00BE6029" w:rsidRPr="00E244C4">
        <w:rPr>
          <w:rFonts w:eastAsia="Times New Roman" w:cs="Times New Roman"/>
          <w:szCs w:val="20"/>
          <w:lang w:val="hr-HR" w:eastAsia="en-GB"/>
        </w:rPr>
        <w:t>zaposlenih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 stanovništva od opasnosti</w:t>
      </w:r>
      <w:r w:rsidR="00BE6029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BE6029" w:rsidRPr="00E244C4">
        <w:rPr>
          <w:rFonts w:eastAsia="Times New Roman" w:cs="Times New Roman"/>
          <w:szCs w:val="20"/>
          <w:lang w:val="hr-HR" w:eastAsia="en-GB"/>
        </w:rPr>
        <w:tab/>
        <w:t>koje potiču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od </w:t>
      </w:r>
      <w:r w:rsidR="00383FAF" w:rsidRPr="00E244C4">
        <w:rPr>
          <w:rFonts w:eastAsia="Times New Roman" w:cs="Times New Roman"/>
          <w:szCs w:val="20"/>
          <w:lang w:val="hr-HR" w:eastAsia="en-GB"/>
        </w:rPr>
        <w:t>j</w:t>
      </w:r>
      <w:r w:rsidRPr="00E244C4">
        <w:rPr>
          <w:rFonts w:eastAsia="Times New Roman" w:cs="Times New Roman"/>
          <w:szCs w:val="20"/>
          <w:lang w:val="hr-HR" w:eastAsia="en-GB"/>
        </w:rPr>
        <w:t xml:space="preserve">onizirajućih zračenja iz nuklearnih </w:t>
      </w:r>
      <w:r w:rsidR="00753B05" w:rsidRPr="00E244C4">
        <w:rPr>
          <w:rFonts w:eastAsia="Times New Roman" w:cs="Times New Roman"/>
          <w:szCs w:val="20"/>
          <w:lang w:val="hr-HR" w:eastAsia="en-GB"/>
        </w:rPr>
        <w:t>objekata</w:t>
      </w:r>
      <w:r w:rsidRPr="00E244C4">
        <w:rPr>
          <w:rFonts w:eastAsia="Times New Roman" w:cs="Times New Roman"/>
          <w:szCs w:val="20"/>
          <w:lang w:val="hr-HR" w:eastAsia="en-GB"/>
        </w:rPr>
        <w:t>.</w:t>
      </w:r>
    </w:p>
    <w:p w:rsidR="005270DE" w:rsidRPr="00E244C4" w:rsidRDefault="005270DE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5270DE">
      <w:pPr>
        <w:jc w:val="center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Član 2.</w:t>
      </w:r>
    </w:p>
    <w:p w:rsidR="00371F52" w:rsidRPr="00E244C4" w:rsidRDefault="0032341B" w:rsidP="005270DE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E244C4">
        <w:rPr>
          <w:rFonts w:eastAsia="Times New Roman" w:cs="Times New Roman"/>
          <w:b/>
          <w:szCs w:val="20"/>
          <w:lang w:val="hr-HR" w:eastAsia="en-GB"/>
        </w:rPr>
        <w:t>Djelokrug</w:t>
      </w:r>
    </w:p>
    <w:p w:rsidR="005270DE" w:rsidRPr="00E244C4" w:rsidRDefault="005270DE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CF1BF9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Ova </w:t>
      </w:r>
      <w:r w:rsidR="00CF1BF9" w:rsidRPr="00E244C4">
        <w:rPr>
          <w:rFonts w:eastAsia="Times New Roman" w:cs="Times New Roman"/>
          <w:szCs w:val="20"/>
          <w:lang w:val="hr-HR" w:eastAsia="en-GB"/>
        </w:rPr>
        <w:t>d</w:t>
      </w:r>
      <w:r w:rsidRPr="00E244C4">
        <w:rPr>
          <w:rFonts w:eastAsia="Times New Roman" w:cs="Times New Roman"/>
          <w:szCs w:val="20"/>
          <w:lang w:val="hr-HR" w:eastAsia="en-GB"/>
        </w:rPr>
        <w:t xml:space="preserve">irektiva </w:t>
      </w:r>
      <w:r w:rsidR="00CF1BF9" w:rsidRPr="00E244C4">
        <w:rPr>
          <w:rFonts w:eastAsia="Times New Roman" w:cs="Times New Roman"/>
          <w:szCs w:val="20"/>
          <w:lang w:val="hr-HR" w:eastAsia="en-GB"/>
        </w:rPr>
        <w:t xml:space="preserve">se </w:t>
      </w:r>
      <w:r w:rsidRPr="00E244C4">
        <w:rPr>
          <w:rFonts w:eastAsia="Times New Roman" w:cs="Times New Roman"/>
          <w:szCs w:val="20"/>
          <w:lang w:val="hr-HR" w:eastAsia="en-GB"/>
        </w:rPr>
        <w:t>primjenjuje na svak</w:t>
      </w:r>
      <w:r w:rsidR="00BE6029" w:rsidRPr="00E244C4">
        <w:rPr>
          <w:rFonts w:eastAsia="Times New Roman" w:cs="Times New Roman"/>
          <w:szCs w:val="20"/>
          <w:lang w:val="hr-HR" w:eastAsia="en-GB"/>
        </w:rPr>
        <w:t>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civiln</w:t>
      </w:r>
      <w:r w:rsidR="00BE6029" w:rsidRPr="00E244C4">
        <w:rPr>
          <w:rFonts w:eastAsia="Times New Roman" w:cs="Times New Roman"/>
          <w:szCs w:val="20"/>
          <w:lang w:val="hr-HR" w:eastAsia="en-GB"/>
        </w:rPr>
        <w:t>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nuklearn</w:t>
      </w:r>
      <w:r w:rsidR="00BE6029" w:rsidRPr="00E244C4">
        <w:rPr>
          <w:rFonts w:eastAsia="Times New Roman" w:cs="Times New Roman"/>
          <w:szCs w:val="20"/>
          <w:lang w:val="hr-HR" w:eastAsia="en-GB"/>
        </w:rPr>
        <w:t>i objekt</w:t>
      </w:r>
      <w:r w:rsidRPr="00E244C4">
        <w:rPr>
          <w:rFonts w:eastAsia="Times New Roman" w:cs="Times New Roman"/>
          <w:szCs w:val="20"/>
          <w:lang w:val="hr-HR" w:eastAsia="en-GB"/>
        </w:rPr>
        <w:t xml:space="preserve"> koj</w:t>
      </w:r>
      <w:r w:rsidR="00BE6029" w:rsidRPr="00E244C4">
        <w:rPr>
          <w:rFonts w:eastAsia="Times New Roman" w:cs="Times New Roman"/>
          <w:szCs w:val="20"/>
          <w:lang w:val="hr-HR" w:eastAsia="en-GB"/>
        </w:rPr>
        <w:t>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podliježe </w:t>
      </w:r>
      <w:r w:rsidR="00074F7E" w:rsidRPr="00E244C4">
        <w:rPr>
          <w:rFonts w:eastAsia="Times New Roman" w:cs="Times New Roman"/>
          <w:szCs w:val="20"/>
          <w:lang w:val="hr-HR" w:eastAsia="en-GB"/>
        </w:rPr>
        <w:t>licenciranju</w:t>
      </w:r>
      <w:r w:rsidRPr="00E244C4">
        <w:rPr>
          <w:rFonts w:eastAsia="Times New Roman" w:cs="Times New Roman"/>
          <w:szCs w:val="20"/>
          <w:lang w:val="hr-HR" w:eastAsia="en-GB"/>
        </w:rPr>
        <w:t>.</w:t>
      </w:r>
    </w:p>
    <w:p w:rsidR="00371F52" w:rsidRPr="00E244C4" w:rsidRDefault="00371F52" w:rsidP="00CF1BF9">
      <w:pPr>
        <w:ind w:left="284" w:hanging="284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CF1BF9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Ova </w:t>
      </w:r>
      <w:r w:rsidR="00B84671" w:rsidRPr="00E244C4">
        <w:rPr>
          <w:rFonts w:eastAsia="Times New Roman" w:cs="Times New Roman"/>
          <w:szCs w:val="20"/>
          <w:lang w:val="hr-HR" w:eastAsia="en-GB"/>
        </w:rPr>
        <w:t>d</w:t>
      </w:r>
      <w:r w:rsidRPr="00E244C4">
        <w:rPr>
          <w:rFonts w:eastAsia="Times New Roman" w:cs="Times New Roman"/>
          <w:szCs w:val="20"/>
          <w:lang w:val="hr-HR" w:eastAsia="en-GB"/>
        </w:rPr>
        <w:t xml:space="preserve">irektiva ne sprečava države članice da </w:t>
      </w:r>
      <w:r w:rsidR="00074F7E" w:rsidRPr="00E244C4">
        <w:rPr>
          <w:rFonts w:eastAsia="Times New Roman" w:cs="Times New Roman"/>
          <w:szCs w:val="20"/>
          <w:lang w:val="hr-HR" w:eastAsia="en-GB"/>
        </w:rPr>
        <w:t>u skladu sa zakonodavstvom Zajednice poduzmu strožije mjere sigurnosti 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predmet</w:t>
      </w:r>
      <w:r w:rsidR="00074F7E" w:rsidRPr="00E244C4">
        <w:rPr>
          <w:rFonts w:eastAsia="Times New Roman" w:cs="Times New Roman"/>
          <w:szCs w:val="20"/>
          <w:lang w:val="hr-HR" w:eastAsia="en-GB"/>
        </w:rPr>
        <w:t>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obuhvaćen</w:t>
      </w:r>
      <w:r w:rsidR="00074F7E" w:rsidRPr="00E244C4">
        <w:rPr>
          <w:rFonts w:eastAsia="Times New Roman" w:cs="Times New Roman"/>
          <w:szCs w:val="20"/>
          <w:lang w:val="hr-HR" w:eastAsia="en-GB"/>
        </w:rPr>
        <w:t>im</w:t>
      </w:r>
      <w:r w:rsidRPr="00E244C4">
        <w:rPr>
          <w:rFonts w:eastAsia="Times New Roman" w:cs="Times New Roman"/>
          <w:szCs w:val="20"/>
          <w:lang w:val="hr-HR" w:eastAsia="en-GB"/>
        </w:rPr>
        <w:t xml:space="preserve"> ovom </w:t>
      </w:r>
      <w:r w:rsidR="00B84671" w:rsidRPr="00E244C4">
        <w:rPr>
          <w:rFonts w:eastAsia="Times New Roman" w:cs="Times New Roman"/>
          <w:szCs w:val="20"/>
          <w:lang w:val="hr-HR" w:eastAsia="en-GB"/>
        </w:rPr>
        <w:t>d</w:t>
      </w:r>
      <w:r w:rsidRPr="00E244C4">
        <w:rPr>
          <w:rFonts w:eastAsia="Times New Roman" w:cs="Times New Roman"/>
          <w:szCs w:val="20"/>
          <w:lang w:val="hr-HR" w:eastAsia="en-GB"/>
        </w:rPr>
        <w:t>irektivom.</w:t>
      </w:r>
    </w:p>
    <w:p w:rsidR="005736E6" w:rsidRPr="00E244C4" w:rsidRDefault="005736E6" w:rsidP="00CF1BF9">
      <w:pPr>
        <w:pStyle w:val="ListParagraph"/>
        <w:ind w:left="284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CF1BF9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Ovom </w:t>
      </w:r>
      <w:r w:rsidR="00CF1BF9" w:rsidRPr="00E244C4">
        <w:rPr>
          <w:rFonts w:eastAsia="Times New Roman" w:cs="Times New Roman"/>
          <w:szCs w:val="20"/>
          <w:lang w:val="hr-HR" w:eastAsia="en-GB"/>
        </w:rPr>
        <w:t>d</w:t>
      </w:r>
      <w:r w:rsidRPr="00E244C4">
        <w:rPr>
          <w:rFonts w:eastAsia="Times New Roman" w:cs="Times New Roman"/>
          <w:szCs w:val="20"/>
          <w:lang w:val="hr-HR" w:eastAsia="en-GB"/>
        </w:rPr>
        <w:t xml:space="preserve">irektivom </w:t>
      </w:r>
      <w:r w:rsidR="00CF1BF9" w:rsidRPr="00E244C4">
        <w:rPr>
          <w:rFonts w:eastAsia="Times New Roman" w:cs="Times New Roman"/>
          <w:szCs w:val="20"/>
          <w:lang w:val="hr-HR" w:eastAsia="en-GB"/>
        </w:rPr>
        <w:t xml:space="preserve">se </w:t>
      </w:r>
      <w:r w:rsidRPr="00E244C4">
        <w:rPr>
          <w:rFonts w:eastAsia="Times New Roman" w:cs="Times New Roman"/>
          <w:szCs w:val="20"/>
          <w:lang w:val="hr-HR" w:eastAsia="en-GB"/>
        </w:rPr>
        <w:t>dopunj</w:t>
      </w:r>
      <w:r w:rsidR="00CF1BF9" w:rsidRPr="00E244C4">
        <w:rPr>
          <w:rFonts w:eastAsia="Times New Roman" w:cs="Times New Roman"/>
          <w:szCs w:val="20"/>
          <w:lang w:val="hr-HR" w:eastAsia="en-GB"/>
        </w:rPr>
        <w:t>ava</w:t>
      </w:r>
      <w:r w:rsidRPr="00E244C4">
        <w:rPr>
          <w:rFonts w:eastAsia="Times New Roman" w:cs="Times New Roman"/>
          <w:szCs w:val="20"/>
          <w:lang w:val="hr-HR" w:eastAsia="en-GB"/>
        </w:rPr>
        <w:t>ju osnovn</w:t>
      </w:r>
      <w:r w:rsidR="00074F7E" w:rsidRPr="00E244C4">
        <w:rPr>
          <w:rFonts w:eastAsia="Times New Roman" w:cs="Times New Roman"/>
          <w:szCs w:val="20"/>
          <w:lang w:val="hr-HR" w:eastAsia="en-GB"/>
        </w:rPr>
        <w:t xml:space="preserve">i standardi </w:t>
      </w:r>
      <w:r w:rsidRPr="00E244C4">
        <w:rPr>
          <w:rFonts w:eastAsia="Times New Roman" w:cs="Times New Roman"/>
          <w:szCs w:val="20"/>
          <w:lang w:val="hr-HR" w:eastAsia="en-GB"/>
        </w:rPr>
        <w:t xml:space="preserve">iz člana 30 Ugovora u pogledu nuklearne sigurnosti nuklearnih </w:t>
      </w:r>
      <w:r w:rsidR="00753B05" w:rsidRPr="00E244C4">
        <w:rPr>
          <w:rFonts w:eastAsia="Times New Roman" w:cs="Times New Roman"/>
          <w:szCs w:val="20"/>
          <w:lang w:val="hr-HR" w:eastAsia="en-GB"/>
        </w:rPr>
        <w:t>objekata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 njom</w:t>
      </w:r>
      <w:r w:rsidR="0029194C" w:rsidRPr="00E244C4">
        <w:rPr>
          <w:rFonts w:eastAsia="Times New Roman" w:cs="Times New Roman"/>
          <w:szCs w:val="20"/>
          <w:lang w:val="hr-HR" w:eastAsia="en-GB"/>
        </w:rPr>
        <w:t>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se ne dovodi u pitanje postojeće zakonodavstvo Zajednice o zaštiti zdravlja </w:t>
      </w:r>
      <w:r w:rsidR="0029194C" w:rsidRPr="00E244C4">
        <w:rPr>
          <w:rFonts w:eastAsia="Times New Roman" w:cs="Times New Roman"/>
          <w:szCs w:val="20"/>
          <w:lang w:val="hr-HR" w:eastAsia="en-GB"/>
        </w:rPr>
        <w:t xml:space="preserve">zaposlenih i stanovništva </w:t>
      </w:r>
      <w:r w:rsidRPr="00E244C4">
        <w:rPr>
          <w:rFonts w:eastAsia="Times New Roman" w:cs="Times New Roman"/>
          <w:szCs w:val="20"/>
          <w:lang w:val="hr-HR" w:eastAsia="en-GB"/>
        </w:rPr>
        <w:t>koje p</w:t>
      </w:r>
      <w:r w:rsidR="0029194C" w:rsidRPr="00E244C4">
        <w:rPr>
          <w:rFonts w:eastAsia="Times New Roman" w:cs="Times New Roman"/>
          <w:szCs w:val="20"/>
          <w:lang w:val="hr-HR" w:eastAsia="en-GB"/>
        </w:rPr>
        <w:t>otiču od j</w:t>
      </w:r>
      <w:r w:rsidRPr="00E244C4">
        <w:rPr>
          <w:rFonts w:eastAsia="Times New Roman" w:cs="Times New Roman"/>
          <w:szCs w:val="20"/>
          <w:lang w:val="hr-HR" w:eastAsia="en-GB"/>
        </w:rPr>
        <w:t>onizirajućeg zračenja, a posebno Direktiva Vijeća 2013/59/Euratom</w:t>
      </w:r>
      <w:r w:rsidR="00383FAF" w:rsidRPr="00E244C4">
        <w:rPr>
          <w:rStyle w:val="FootnoteReference"/>
          <w:rFonts w:eastAsia="Times New Roman" w:cs="Times New Roman"/>
          <w:szCs w:val="20"/>
          <w:lang w:val="hr-HR" w:eastAsia="en-GB"/>
        </w:rPr>
        <w:footnoteReference w:id="11"/>
      </w:r>
      <w:r w:rsidR="00383FAF" w:rsidRPr="00E244C4">
        <w:rPr>
          <w:rFonts w:eastAsia="Times New Roman" w:cs="Times New Roman"/>
          <w:szCs w:val="20"/>
          <w:lang w:val="hr-HR" w:eastAsia="en-GB"/>
        </w:rPr>
        <w:t>.</w:t>
      </w:r>
    </w:p>
    <w:p w:rsidR="008C67A8" w:rsidRPr="00E244C4" w:rsidRDefault="008C67A8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8C67A8">
      <w:pPr>
        <w:jc w:val="center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Član 3.</w:t>
      </w:r>
    </w:p>
    <w:p w:rsidR="00371F52" w:rsidRPr="00E244C4" w:rsidRDefault="00371F52" w:rsidP="008C67A8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E244C4">
        <w:rPr>
          <w:rFonts w:eastAsia="Times New Roman" w:cs="Times New Roman"/>
          <w:b/>
          <w:szCs w:val="20"/>
          <w:lang w:val="hr-HR" w:eastAsia="en-GB"/>
        </w:rPr>
        <w:t>Definicije</w:t>
      </w:r>
    </w:p>
    <w:p w:rsidR="008C67A8" w:rsidRPr="00E244C4" w:rsidRDefault="008C67A8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29194C" w:rsidP="005270DE">
      <w:pPr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U svrhe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ove </w:t>
      </w:r>
      <w:r w:rsidR="0022792F" w:rsidRPr="00E244C4">
        <w:rPr>
          <w:rFonts w:eastAsia="Times New Roman" w:cs="Times New Roman"/>
          <w:szCs w:val="20"/>
          <w:lang w:val="hr-HR" w:eastAsia="en-GB"/>
        </w:rPr>
        <w:t>d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irektive </w:t>
      </w:r>
      <w:r w:rsidRPr="00E244C4">
        <w:rPr>
          <w:rFonts w:eastAsia="Times New Roman" w:cs="Times New Roman"/>
          <w:szCs w:val="20"/>
          <w:lang w:val="hr-HR" w:eastAsia="en-GB"/>
        </w:rPr>
        <w:t xml:space="preserve">se </w:t>
      </w:r>
      <w:r w:rsidR="00371F52" w:rsidRPr="00E244C4">
        <w:rPr>
          <w:rFonts w:eastAsia="Times New Roman" w:cs="Times New Roman"/>
          <w:szCs w:val="20"/>
          <w:lang w:val="hr-HR" w:eastAsia="en-GB"/>
        </w:rPr>
        <w:t>primjenjuju sljedeće definicije:</w:t>
      </w:r>
    </w:p>
    <w:p w:rsidR="0032341B" w:rsidRPr="00E244C4" w:rsidRDefault="0032341B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32341B">
      <w:pPr>
        <w:pStyle w:val="ListParagraph"/>
        <w:numPr>
          <w:ilvl w:val="0"/>
          <w:numId w:val="4"/>
        </w:numPr>
        <w:ind w:left="426" w:hanging="426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„</w:t>
      </w:r>
      <w:r w:rsidR="00821AE8" w:rsidRPr="00E244C4">
        <w:rPr>
          <w:rFonts w:eastAsia="Times New Roman" w:cs="Times New Roman"/>
          <w:szCs w:val="20"/>
          <w:lang w:val="hr-HR" w:eastAsia="en-GB"/>
        </w:rPr>
        <w:t>N</w:t>
      </w:r>
      <w:r w:rsidRPr="00E244C4">
        <w:rPr>
          <w:rFonts w:eastAsia="Times New Roman" w:cs="Times New Roman"/>
          <w:szCs w:val="20"/>
          <w:lang w:val="hr-HR" w:eastAsia="en-GB"/>
        </w:rPr>
        <w:t>uklearn</w:t>
      </w:r>
      <w:r w:rsidR="00383FAF" w:rsidRPr="00E244C4">
        <w:rPr>
          <w:rFonts w:eastAsia="Times New Roman" w:cs="Times New Roman"/>
          <w:szCs w:val="20"/>
          <w:lang w:val="hr-HR" w:eastAsia="en-GB"/>
        </w:rPr>
        <w:t>i objekt</w:t>
      </w:r>
      <w:r w:rsidRPr="00E244C4">
        <w:rPr>
          <w:rFonts w:eastAsia="Times New Roman" w:cs="Times New Roman"/>
          <w:szCs w:val="20"/>
          <w:lang w:val="hr-HR" w:eastAsia="en-GB"/>
        </w:rPr>
        <w:t>” znači:</w:t>
      </w:r>
    </w:p>
    <w:p w:rsidR="0032341B" w:rsidRPr="00E244C4" w:rsidRDefault="0032341B" w:rsidP="0032341B">
      <w:pPr>
        <w:pStyle w:val="ListParagraph"/>
        <w:ind w:left="426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32341B">
      <w:pPr>
        <w:pStyle w:val="ListParagraph"/>
        <w:numPr>
          <w:ilvl w:val="0"/>
          <w:numId w:val="5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nuklearna elektrana, postrojenje za obogaćivanje, postro</w:t>
      </w:r>
      <w:r w:rsidR="0032341B" w:rsidRPr="00E244C4">
        <w:rPr>
          <w:rFonts w:eastAsia="Times New Roman" w:cs="Times New Roman"/>
          <w:szCs w:val="20"/>
          <w:lang w:val="hr-HR" w:eastAsia="en-GB"/>
        </w:rPr>
        <w:t xml:space="preserve">jenje za proizvodnju </w:t>
      </w:r>
      <w:r w:rsidR="0032341B" w:rsidRPr="00E244C4">
        <w:rPr>
          <w:rFonts w:eastAsia="Times New Roman" w:cs="Times New Roman"/>
          <w:szCs w:val="20"/>
          <w:lang w:val="hr-HR" w:eastAsia="en-GB"/>
        </w:rPr>
        <w:tab/>
        <w:t xml:space="preserve">nuklearnog </w:t>
      </w:r>
      <w:r w:rsidRPr="00E244C4">
        <w:rPr>
          <w:rFonts w:eastAsia="Times New Roman" w:cs="Times New Roman"/>
          <w:szCs w:val="20"/>
          <w:lang w:val="hr-HR" w:eastAsia="en-GB"/>
        </w:rPr>
        <w:t xml:space="preserve">goriva, postrojenje za </w:t>
      </w:r>
      <w:r w:rsidR="0029194C" w:rsidRPr="00E244C4">
        <w:rPr>
          <w:rFonts w:eastAsia="Times New Roman" w:cs="Times New Roman"/>
          <w:szCs w:val="20"/>
          <w:lang w:val="hr-HR" w:eastAsia="en-GB"/>
        </w:rPr>
        <w:t xml:space="preserve">ponovnu </w:t>
      </w:r>
      <w:r w:rsidRPr="00E244C4">
        <w:rPr>
          <w:rFonts w:eastAsia="Times New Roman" w:cs="Times New Roman"/>
          <w:szCs w:val="20"/>
          <w:lang w:val="hr-HR" w:eastAsia="en-GB"/>
        </w:rPr>
        <w:t>preradu,</w:t>
      </w:r>
      <w:r w:rsidR="0029194C" w:rsidRPr="00E244C4">
        <w:rPr>
          <w:rFonts w:eastAsia="Times New Roman" w:cs="Times New Roman"/>
          <w:szCs w:val="20"/>
          <w:lang w:val="hr-HR" w:eastAsia="en-GB"/>
        </w:rPr>
        <w:t xml:space="preserve"> objekt sa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istraživački</w:t>
      </w:r>
      <w:r w:rsidR="0029194C" w:rsidRPr="00E244C4">
        <w:rPr>
          <w:rFonts w:eastAsia="Times New Roman" w:cs="Times New Roman"/>
          <w:szCs w:val="20"/>
          <w:lang w:val="hr-HR" w:eastAsia="en-GB"/>
        </w:rPr>
        <w:t>m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29194C" w:rsidRPr="00E244C4">
        <w:rPr>
          <w:rFonts w:eastAsia="Times New Roman" w:cs="Times New Roman"/>
          <w:szCs w:val="20"/>
          <w:lang w:val="hr-HR" w:eastAsia="en-GB"/>
        </w:rPr>
        <w:tab/>
      </w:r>
      <w:r w:rsidRPr="00E244C4">
        <w:rPr>
          <w:rFonts w:eastAsia="Times New Roman" w:cs="Times New Roman"/>
          <w:szCs w:val="20"/>
          <w:lang w:val="hr-HR" w:eastAsia="en-GB"/>
        </w:rPr>
        <w:t>reaktor</w:t>
      </w:r>
      <w:r w:rsidR="0029194C" w:rsidRPr="00E244C4">
        <w:rPr>
          <w:rFonts w:eastAsia="Times New Roman" w:cs="Times New Roman"/>
          <w:szCs w:val="20"/>
          <w:lang w:val="hr-HR" w:eastAsia="en-GB"/>
        </w:rPr>
        <w:t>om</w:t>
      </w:r>
      <w:r w:rsidRPr="00E244C4">
        <w:rPr>
          <w:rFonts w:eastAsia="Times New Roman" w:cs="Times New Roman"/>
          <w:szCs w:val="20"/>
          <w:lang w:val="hr-HR" w:eastAsia="en-GB"/>
        </w:rPr>
        <w:t>, skladište istrošenog goriva; i</w:t>
      </w:r>
    </w:p>
    <w:p w:rsidR="00383FAF" w:rsidRPr="00E244C4" w:rsidRDefault="00383FAF" w:rsidP="00383FAF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32341B">
      <w:pPr>
        <w:pStyle w:val="ListParagraph"/>
        <w:numPr>
          <w:ilvl w:val="0"/>
          <w:numId w:val="5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skladišta</w:t>
      </w:r>
      <w:r w:rsidR="0029194C" w:rsidRPr="00E244C4">
        <w:rPr>
          <w:rFonts w:eastAsia="Times New Roman" w:cs="Times New Roman"/>
          <w:szCs w:val="20"/>
          <w:lang w:val="hr-HR" w:eastAsia="en-GB"/>
        </w:rPr>
        <w:t xml:space="preserve"> radioaktivnog</w:t>
      </w:r>
      <w:r w:rsidRPr="00E244C4">
        <w:rPr>
          <w:rFonts w:eastAsia="Times New Roman" w:cs="Times New Roman"/>
          <w:szCs w:val="20"/>
          <w:lang w:val="hr-HR" w:eastAsia="en-GB"/>
        </w:rPr>
        <w:t xml:space="preserve"> otpad</w:t>
      </w:r>
      <w:r w:rsidR="0029194C" w:rsidRPr="00E244C4">
        <w:rPr>
          <w:rFonts w:eastAsia="Times New Roman" w:cs="Times New Roman"/>
          <w:szCs w:val="20"/>
          <w:lang w:val="hr-HR" w:eastAsia="en-GB"/>
        </w:rPr>
        <w:t>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koja se nalaze na istoj lokaciji i </w:t>
      </w:r>
      <w:r w:rsidR="0032341B" w:rsidRPr="00E244C4">
        <w:rPr>
          <w:rFonts w:eastAsia="Times New Roman" w:cs="Times New Roman"/>
          <w:szCs w:val="20"/>
          <w:lang w:val="hr-HR" w:eastAsia="en-GB"/>
        </w:rPr>
        <w:t>neposredno</w:t>
      </w:r>
      <w:r w:rsidRPr="00E244C4">
        <w:rPr>
          <w:rFonts w:eastAsia="Times New Roman" w:cs="Times New Roman"/>
          <w:szCs w:val="20"/>
          <w:lang w:val="hr-HR" w:eastAsia="en-GB"/>
        </w:rPr>
        <w:t xml:space="preserve"> su </w:t>
      </w:r>
      <w:r w:rsidR="0032341B" w:rsidRPr="00E244C4">
        <w:rPr>
          <w:rFonts w:eastAsia="Times New Roman" w:cs="Times New Roman"/>
          <w:szCs w:val="20"/>
          <w:lang w:val="hr-HR" w:eastAsia="en-GB"/>
        </w:rPr>
        <w:tab/>
      </w:r>
      <w:r w:rsidRPr="00E244C4">
        <w:rPr>
          <w:rFonts w:eastAsia="Times New Roman" w:cs="Times New Roman"/>
          <w:szCs w:val="20"/>
          <w:lang w:val="hr-HR" w:eastAsia="en-GB"/>
        </w:rPr>
        <w:t xml:space="preserve">povezana s nuklearnim </w:t>
      </w:r>
      <w:r w:rsidR="0029194C" w:rsidRPr="00E244C4">
        <w:rPr>
          <w:rFonts w:eastAsia="Times New Roman" w:cs="Times New Roman"/>
          <w:szCs w:val="20"/>
          <w:lang w:val="hr-HR" w:eastAsia="en-GB"/>
        </w:rPr>
        <w:t>objektima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na</w:t>
      </w:r>
      <w:r w:rsidR="00E544A6" w:rsidRPr="00E244C4">
        <w:rPr>
          <w:rFonts w:eastAsia="Times New Roman" w:cs="Times New Roman"/>
          <w:szCs w:val="20"/>
          <w:lang w:val="hr-HR" w:eastAsia="en-GB"/>
        </w:rPr>
        <w:t>vedenim</w:t>
      </w:r>
      <w:r w:rsidRPr="00E244C4">
        <w:rPr>
          <w:rFonts w:eastAsia="Times New Roman" w:cs="Times New Roman"/>
          <w:szCs w:val="20"/>
          <w:lang w:val="hr-HR" w:eastAsia="en-GB"/>
        </w:rPr>
        <w:t xml:space="preserve"> u t</w:t>
      </w:r>
      <w:r w:rsidR="0032341B" w:rsidRPr="00E244C4">
        <w:rPr>
          <w:rFonts w:eastAsia="Times New Roman" w:cs="Times New Roman"/>
          <w:szCs w:val="20"/>
          <w:lang w:val="hr-HR" w:eastAsia="en-GB"/>
        </w:rPr>
        <w:t>a</w:t>
      </w:r>
      <w:r w:rsidRPr="00E244C4">
        <w:rPr>
          <w:rFonts w:eastAsia="Times New Roman" w:cs="Times New Roman"/>
          <w:szCs w:val="20"/>
          <w:lang w:val="hr-HR" w:eastAsia="en-GB"/>
        </w:rPr>
        <w:t>čki (a);</w:t>
      </w:r>
    </w:p>
    <w:p w:rsidR="0032341B" w:rsidRPr="00E244C4" w:rsidRDefault="0032341B" w:rsidP="0032341B">
      <w:pPr>
        <w:tabs>
          <w:tab w:val="left" w:pos="851"/>
        </w:tabs>
        <w:ind w:hanging="294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32341B">
      <w:pPr>
        <w:pStyle w:val="ListParagraph"/>
        <w:numPr>
          <w:ilvl w:val="0"/>
          <w:numId w:val="4"/>
        </w:numPr>
        <w:ind w:left="426" w:hanging="426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„</w:t>
      </w:r>
      <w:r w:rsidR="00821AE8" w:rsidRPr="00E244C4">
        <w:rPr>
          <w:rFonts w:eastAsia="Times New Roman" w:cs="Times New Roman"/>
          <w:szCs w:val="20"/>
          <w:lang w:val="hr-HR" w:eastAsia="en-GB"/>
        </w:rPr>
        <w:t>N</w:t>
      </w:r>
      <w:r w:rsidRPr="00E244C4">
        <w:rPr>
          <w:rFonts w:eastAsia="Times New Roman" w:cs="Times New Roman"/>
          <w:szCs w:val="20"/>
          <w:lang w:val="hr-HR" w:eastAsia="en-GB"/>
        </w:rPr>
        <w:t xml:space="preserve">uklearna sigurnost” znači ostvarivanje </w:t>
      </w:r>
      <w:r w:rsidR="00BA110C" w:rsidRPr="00E244C4">
        <w:rPr>
          <w:rFonts w:eastAsia="Times New Roman" w:cs="Times New Roman"/>
          <w:szCs w:val="20"/>
          <w:lang w:val="hr-HR" w:eastAsia="en-GB"/>
        </w:rPr>
        <w:t>odgovarajućih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383FAF" w:rsidRPr="00E244C4">
        <w:rPr>
          <w:rFonts w:eastAsia="Times New Roman" w:cs="Times New Roman"/>
          <w:szCs w:val="20"/>
          <w:lang w:val="hr-HR" w:eastAsia="en-GB"/>
        </w:rPr>
        <w:t>uslov</w:t>
      </w:r>
      <w:r w:rsidRPr="00E244C4">
        <w:rPr>
          <w:rFonts w:eastAsia="Times New Roman" w:cs="Times New Roman"/>
          <w:szCs w:val="20"/>
          <w:lang w:val="hr-HR" w:eastAsia="en-GB"/>
        </w:rPr>
        <w:t xml:space="preserve">a rada, sprečavanje </w:t>
      </w:r>
      <w:r w:rsidR="009969D1" w:rsidRPr="00E244C4">
        <w:rPr>
          <w:rFonts w:eastAsia="Times New Roman" w:cs="Times New Roman"/>
          <w:szCs w:val="20"/>
          <w:lang w:val="hr-HR" w:eastAsia="en-GB"/>
        </w:rPr>
        <w:t>akcidenata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 ublažavanje posljedica </w:t>
      </w:r>
      <w:r w:rsidR="009969D1" w:rsidRPr="00E244C4">
        <w:rPr>
          <w:rFonts w:eastAsia="Times New Roman" w:cs="Times New Roman"/>
          <w:szCs w:val="20"/>
          <w:lang w:val="hr-HR" w:eastAsia="en-GB"/>
        </w:rPr>
        <w:t>akcidenata</w:t>
      </w:r>
      <w:r w:rsidRPr="00E244C4">
        <w:rPr>
          <w:rFonts w:eastAsia="Times New Roman" w:cs="Times New Roman"/>
          <w:szCs w:val="20"/>
          <w:lang w:val="hr-HR" w:eastAsia="en-GB"/>
        </w:rPr>
        <w:t xml:space="preserve">, što rezultira zaštitom </w:t>
      </w:r>
      <w:r w:rsidR="009969D1" w:rsidRPr="00E244C4">
        <w:rPr>
          <w:rFonts w:eastAsia="Times New Roman" w:cs="Times New Roman"/>
          <w:szCs w:val="20"/>
          <w:lang w:val="hr-HR" w:eastAsia="en-GB"/>
        </w:rPr>
        <w:t>zaposlenih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 stanovništva od opasnosti </w:t>
      </w:r>
      <w:r w:rsidR="009969D1" w:rsidRPr="00E244C4">
        <w:rPr>
          <w:rFonts w:eastAsia="Times New Roman" w:cs="Times New Roman"/>
          <w:szCs w:val="20"/>
          <w:lang w:val="hr-HR" w:eastAsia="en-GB"/>
        </w:rPr>
        <w:t xml:space="preserve">koje potiču </w:t>
      </w:r>
      <w:r w:rsidRPr="00E244C4">
        <w:rPr>
          <w:rFonts w:eastAsia="Times New Roman" w:cs="Times New Roman"/>
          <w:szCs w:val="20"/>
          <w:lang w:val="hr-HR" w:eastAsia="en-GB"/>
        </w:rPr>
        <w:t xml:space="preserve">od </w:t>
      </w:r>
      <w:r w:rsidR="00B84671" w:rsidRPr="00E244C4">
        <w:rPr>
          <w:rFonts w:eastAsia="Times New Roman" w:cs="Times New Roman"/>
          <w:szCs w:val="20"/>
          <w:lang w:val="hr-HR" w:eastAsia="en-GB"/>
        </w:rPr>
        <w:t>j</w:t>
      </w:r>
      <w:r w:rsidRPr="00E244C4">
        <w:rPr>
          <w:rFonts w:eastAsia="Times New Roman" w:cs="Times New Roman"/>
          <w:szCs w:val="20"/>
          <w:lang w:val="hr-HR" w:eastAsia="en-GB"/>
        </w:rPr>
        <w:t xml:space="preserve">onizirajućih zračenja iz nuklearnih </w:t>
      </w:r>
      <w:r w:rsidR="00A1098C" w:rsidRPr="00E244C4">
        <w:rPr>
          <w:rFonts w:eastAsia="Times New Roman" w:cs="Times New Roman"/>
          <w:szCs w:val="20"/>
          <w:lang w:val="hr-HR" w:eastAsia="en-GB"/>
        </w:rPr>
        <w:t>objekata</w:t>
      </w:r>
      <w:r w:rsidRPr="00E244C4">
        <w:rPr>
          <w:rFonts w:eastAsia="Times New Roman" w:cs="Times New Roman"/>
          <w:szCs w:val="20"/>
          <w:lang w:val="hr-HR" w:eastAsia="en-GB"/>
        </w:rPr>
        <w:t>;</w:t>
      </w:r>
    </w:p>
    <w:p w:rsidR="0032341B" w:rsidRPr="00E244C4" w:rsidRDefault="0032341B" w:rsidP="0032341B">
      <w:pPr>
        <w:pStyle w:val="ListParagraph"/>
        <w:ind w:left="426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821AE8" w:rsidP="0032341B">
      <w:pPr>
        <w:pStyle w:val="ListParagraph"/>
        <w:numPr>
          <w:ilvl w:val="0"/>
          <w:numId w:val="4"/>
        </w:numPr>
        <w:ind w:left="426" w:hanging="426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lastRenderedPageBreak/>
        <w:t>„Nadležni regulatorni organ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” znači </w:t>
      </w:r>
      <w:r w:rsidR="00562D84" w:rsidRPr="00E244C4">
        <w:rPr>
          <w:rFonts w:eastAsia="Times New Roman" w:cs="Times New Roman"/>
          <w:szCs w:val="20"/>
          <w:lang w:val="hr-HR" w:eastAsia="en-GB"/>
        </w:rPr>
        <w:t xml:space="preserve">organ vlasti </w:t>
      </w:r>
      <w:r w:rsidRPr="00E244C4">
        <w:rPr>
          <w:rFonts w:eastAsia="Times New Roman" w:cs="Times New Roman"/>
          <w:szCs w:val="20"/>
          <w:lang w:val="hr-HR" w:eastAsia="en-GB"/>
        </w:rPr>
        <w:t>ili sistem organa</w:t>
      </w:r>
      <w:r w:rsidR="00562D84" w:rsidRPr="00E244C4">
        <w:rPr>
          <w:rFonts w:eastAsia="Times New Roman" w:cs="Times New Roman"/>
          <w:szCs w:val="20"/>
          <w:lang w:val="hr-HR" w:eastAsia="en-GB"/>
        </w:rPr>
        <w:t xml:space="preserve"> vlasti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562D84" w:rsidRPr="00E244C4">
        <w:rPr>
          <w:rFonts w:eastAsia="Times New Roman" w:cs="Times New Roman"/>
          <w:szCs w:val="20"/>
          <w:lang w:val="hr-HR" w:eastAsia="en-GB"/>
        </w:rPr>
        <w:t xml:space="preserve">iz člana 5 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koji su u državi članici određeni </w:t>
      </w:r>
      <w:r w:rsidR="009969D1" w:rsidRPr="00E244C4">
        <w:rPr>
          <w:rFonts w:eastAsia="Times New Roman" w:cs="Times New Roman"/>
          <w:szCs w:val="20"/>
          <w:lang w:val="hr-HR" w:eastAsia="en-GB"/>
        </w:rPr>
        <w:t>za oblast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reguli</w:t>
      </w:r>
      <w:r w:rsidR="00A1098C" w:rsidRPr="00E244C4">
        <w:rPr>
          <w:rFonts w:eastAsia="Times New Roman" w:cs="Times New Roman"/>
          <w:szCs w:val="20"/>
          <w:lang w:val="hr-HR" w:eastAsia="en-GB"/>
        </w:rPr>
        <w:t>s</w:t>
      </w:r>
      <w:r w:rsidR="00371F52" w:rsidRPr="00E244C4">
        <w:rPr>
          <w:rFonts w:eastAsia="Times New Roman" w:cs="Times New Roman"/>
          <w:szCs w:val="20"/>
          <w:lang w:val="hr-HR" w:eastAsia="en-GB"/>
        </w:rPr>
        <w:t>anja nuklearne sigurnosti</w:t>
      </w:r>
      <w:r w:rsidR="0032341B" w:rsidRPr="00E244C4">
        <w:rPr>
          <w:rFonts w:eastAsia="Times New Roman" w:cs="Times New Roman"/>
          <w:szCs w:val="20"/>
          <w:lang w:val="hr-HR" w:eastAsia="en-GB"/>
        </w:rPr>
        <w:t xml:space="preserve"> nuklearnih </w:t>
      </w:r>
      <w:r w:rsidR="00753B05" w:rsidRPr="00E244C4">
        <w:rPr>
          <w:rFonts w:eastAsia="Times New Roman" w:cs="Times New Roman"/>
          <w:szCs w:val="20"/>
          <w:lang w:val="hr-HR" w:eastAsia="en-GB"/>
        </w:rPr>
        <w:t>objekata</w:t>
      </w:r>
      <w:r w:rsidR="00371F52" w:rsidRPr="00E244C4">
        <w:rPr>
          <w:rFonts w:eastAsia="Times New Roman" w:cs="Times New Roman"/>
          <w:szCs w:val="20"/>
          <w:lang w:val="hr-HR" w:eastAsia="en-GB"/>
        </w:rPr>
        <w:t>;</w:t>
      </w:r>
    </w:p>
    <w:p w:rsidR="009969D1" w:rsidRPr="00E244C4" w:rsidRDefault="009969D1" w:rsidP="009969D1">
      <w:pPr>
        <w:pStyle w:val="ListParagraph"/>
        <w:ind w:left="426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821AE8" w:rsidP="0032341B">
      <w:pPr>
        <w:pStyle w:val="ListParagraph"/>
        <w:numPr>
          <w:ilvl w:val="0"/>
          <w:numId w:val="4"/>
        </w:numPr>
        <w:ind w:left="426" w:hanging="426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 „Licenca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” znači svaki pravni akt koji se izdaje </w:t>
      </w:r>
      <w:r w:rsidR="00B023AE" w:rsidRPr="00E244C4">
        <w:rPr>
          <w:rFonts w:eastAsia="Times New Roman" w:cs="Times New Roman"/>
          <w:szCs w:val="20"/>
          <w:lang w:val="hr-HR" w:eastAsia="en-GB"/>
        </w:rPr>
        <w:t>na osnovu</w:t>
      </w:r>
      <w:r w:rsidR="009969D1" w:rsidRPr="00E244C4">
        <w:rPr>
          <w:rFonts w:eastAsia="Times New Roman" w:cs="Times New Roman"/>
          <w:szCs w:val="20"/>
          <w:lang w:val="hr-HR" w:eastAsia="en-GB"/>
        </w:rPr>
        <w:t xml:space="preserve"> nadležno</w:t>
      </w:r>
      <w:r w:rsidR="00B023AE" w:rsidRPr="00E244C4">
        <w:rPr>
          <w:rFonts w:eastAsia="Times New Roman" w:cs="Times New Roman"/>
          <w:szCs w:val="20"/>
          <w:lang w:val="hr-HR" w:eastAsia="en-GB"/>
        </w:rPr>
        <w:t>sti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države članice </w:t>
      </w:r>
      <w:r w:rsidR="00B023AE" w:rsidRPr="00E244C4">
        <w:rPr>
          <w:rFonts w:eastAsia="Times New Roman" w:cs="Times New Roman"/>
          <w:szCs w:val="20"/>
          <w:lang w:val="hr-HR" w:eastAsia="en-GB"/>
        </w:rPr>
        <w:t>da prenese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odgovornost</w:t>
      </w:r>
      <w:r w:rsidR="004F34F5" w:rsidRPr="00E244C4">
        <w:rPr>
          <w:rFonts w:eastAsia="Times New Roman" w:cs="Times New Roman"/>
          <w:szCs w:val="20"/>
          <w:lang w:val="hr-HR" w:eastAsia="en-GB"/>
        </w:rPr>
        <w:t>i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za odabir lokacije, proj</w:t>
      </w:r>
      <w:r w:rsidR="00B22390" w:rsidRPr="00E244C4">
        <w:rPr>
          <w:rFonts w:eastAsia="Times New Roman" w:cs="Times New Roman"/>
          <w:szCs w:val="20"/>
          <w:lang w:val="hr-HR" w:eastAsia="en-GB"/>
        </w:rPr>
        <w:t>ektova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nje, izgradnju, </w:t>
      </w:r>
      <w:r w:rsidR="00B023AE" w:rsidRPr="00E244C4">
        <w:rPr>
          <w:rFonts w:eastAsia="Times New Roman" w:cs="Times New Roman"/>
          <w:szCs w:val="20"/>
          <w:lang w:val="hr-HR" w:eastAsia="en-GB"/>
        </w:rPr>
        <w:t>puštanje u rad i r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ad ili </w:t>
      </w:r>
      <w:r w:rsidR="00B22390" w:rsidRPr="00E244C4">
        <w:rPr>
          <w:rFonts w:eastAsia="Times New Roman" w:cs="Times New Roman"/>
          <w:szCs w:val="20"/>
          <w:lang w:val="hr-HR" w:eastAsia="en-GB"/>
        </w:rPr>
        <w:t>dekomisioniranje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nuklearnog</w:t>
      </w:r>
      <w:r w:rsidR="00B22390" w:rsidRPr="00E244C4">
        <w:rPr>
          <w:rFonts w:eastAsia="Times New Roman" w:cs="Times New Roman"/>
          <w:szCs w:val="20"/>
          <w:lang w:val="hr-HR" w:eastAsia="en-GB"/>
        </w:rPr>
        <w:t xml:space="preserve"> objekta</w:t>
      </w:r>
      <w:r w:rsidR="00371F52" w:rsidRPr="00E244C4">
        <w:rPr>
          <w:rFonts w:eastAsia="Times New Roman" w:cs="Times New Roman"/>
          <w:szCs w:val="20"/>
          <w:lang w:val="hr-HR" w:eastAsia="en-GB"/>
        </w:rPr>
        <w:t>;</w:t>
      </w:r>
    </w:p>
    <w:p w:rsidR="002F128D" w:rsidRPr="00E244C4" w:rsidRDefault="002F128D" w:rsidP="002F128D">
      <w:pPr>
        <w:pStyle w:val="ListParagraph"/>
        <w:ind w:left="426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32341B">
      <w:pPr>
        <w:pStyle w:val="ListParagraph"/>
        <w:numPr>
          <w:ilvl w:val="0"/>
          <w:numId w:val="4"/>
        </w:numPr>
        <w:ind w:left="426" w:hanging="426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„</w:t>
      </w:r>
      <w:r w:rsidR="0059653F" w:rsidRPr="00E244C4">
        <w:rPr>
          <w:rFonts w:eastAsia="Times New Roman" w:cs="Times New Roman"/>
          <w:szCs w:val="20"/>
          <w:lang w:val="hr-HR" w:eastAsia="en-GB"/>
        </w:rPr>
        <w:t>Vlasnik</w:t>
      </w:r>
      <w:r w:rsidR="00821AE8" w:rsidRPr="00E244C4">
        <w:rPr>
          <w:rFonts w:eastAsia="Times New Roman" w:cs="Times New Roman"/>
          <w:szCs w:val="20"/>
          <w:lang w:val="hr-HR" w:eastAsia="en-GB"/>
        </w:rPr>
        <w:t xml:space="preserve"> licence”</w:t>
      </w:r>
      <w:r w:rsidRPr="00E244C4">
        <w:rPr>
          <w:rFonts w:eastAsia="Times New Roman" w:cs="Times New Roman"/>
          <w:szCs w:val="20"/>
          <w:lang w:val="hr-HR" w:eastAsia="en-GB"/>
        </w:rPr>
        <w:t xml:space="preserve"> znači pravn</w:t>
      </w:r>
      <w:r w:rsidR="0059653F" w:rsidRPr="00E244C4">
        <w:rPr>
          <w:rFonts w:eastAsia="Times New Roman" w:cs="Times New Roman"/>
          <w:szCs w:val="20"/>
          <w:lang w:val="hr-HR" w:eastAsia="en-GB"/>
        </w:rPr>
        <w:t>o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ili fizičk</w:t>
      </w:r>
      <w:r w:rsidR="0059653F" w:rsidRPr="00E244C4">
        <w:rPr>
          <w:rFonts w:eastAsia="Times New Roman" w:cs="Times New Roman"/>
          <w:szCs w:val="20"/>
          <w:lang w:val="hr-HR" w:eastAsia="en-GB"/>
        </w:rPr>
        <w:t>o lice koje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snosi </w:t>
      </w:r>
      <w:r w:rsidR="004F34F5" w:rsidRPr="00E244C4">
        <w:rPr>
          <w:rFonts w:eastAsia="Times New Roman" w:cs="Times New Roman"/>
          <w:szCs w:val="20"/>
          <w:lang w:val="hr-HR" w:eastAsia="en-GB"/>
        </w:rPr>
        <w:t>u</w:t>
      </w:r>
      <w:r w:rsidRPr="00E244C4">
        <w:rPr>
          <w:rFonts w:eastAsia="Times New Roman" w:cs="Times New Roman"/>
          <w:szCs w:val="20"/>
          <w:lang w:val="hr-HR" w:eastAsia="en-GB"/>
        </w:rPr>
        <w:t>kupnu odgovornost za nuklearn</w:t>
      </w:r>
      <w:r w:rsidR="00211C48" w:rsidRPr="00E244C4">
        <w:rPr>
          <w:rFonts w:eastAsia="Times New Roman" w:cs="Times New Roman"/>
          <w:szCs w:val="20"/>
          <w:lang w:val="hr-HR" w:eastAsia="en-GB"/>
        </w:rPr>
        <w:t>i objekt</w:t>
      </w:r>
      <w:r w:rsidRPr="00E244C4">
        <w:rPr>
          <w:rFonts w:eastAsia="Times New Roman" w:cs="Times New Roman"/>
          <w:szCs w:val="20"/>
          <w:lang w:val="hr-HR" w:eastAsia="en-GB"/>
        </w:rPr>
        <w:t xml:space="preserve"> kako je navedeno u </w:t>
      </w:r>
      <w:r w:rsidR="0059653F" w:rsidRPr="00E244C4">
        <w:rPr>
          <w:rFonts w:eastAsia="Times New Roman" w:cs="Times New Roman"/>
          <w:szCs w:val="20"/>
          <w:lang w:val="hr-HR" w:eastAsia="en-GB"/>
        </w:rPr>
        <w:t>licenci</w:t>
      </w:r>
      <w:r w:rsidRPr="00E244C4">
        <w:rPr>
          <w:rFonts w:eastAsia="Times New Roman" w:cs="Times New Roman"/>
          <w:szCs w:val="20"/>
          <w:lang w:val="hr-HR" w:eastAsia="en-GB"/>
        </w:rPr>
        <w:t>;</w:t>
      </w:r>
    </w:p>
    <w:p w:rsidR="0032341B" w:rsidRPr="00E244C4" w:rsidRDefault="0032341B" w:rsidP="0032341B">
      <w:pPr>
        <w:pStyle w:val="ListParagraph"/>
        <w:ind w:left="426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32341B">
      <w:pPr>
        <w:pStyle w:val="ListParagraph"/>
        <w:numPr>
          <w:ilvl w:val="0"/>
          <w:numId w:val="4"/>
        </w:numPr>
        <w:ind w:left="426" w:hanging="426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„</w:t>
      </w:r>
      <w:r w:rsidR="00D8421B" w:rsidRPr="00E244C4">
        <w:rPr>
          <w:rFonts w:eastAsia="Times New Roman" w:cs="Times New Roman"/>
          <w:szCs w:val="20"/>
          <w:lang w:val="hr-HR" w:eastAsia="en-GB"/>
        </w:rPr>
        <w:t>Akcident</w:t>
      </w:r>
      <w:r w:rsidRPr="00E244C4">
        <w:rPr>
          <w:rFonts w:eastAsia="Times New Roman" w:cs="Times New Roman"/>
          <w:szCs w:val="20"/>
          <w:lang w:val="hr-HR" w:eastAsia="en-GB"/>
        </w:rPr>
        <w:t>” znači svaki nenamjerni događaj čije su posljedice ili moguće posljedice značajne sa stajališta zaštite od zračenja ili nuklearne sigurnosti;</w:t>
      </w:r>
    </w:p>
    <w:p w:rsidR="0032341B" w:rsidRPr="00E244C4" w:rsidRDefault="0032341B" w:rsidP="0032341B">
      <w:pPr>
        <w:pStyle w:val="ListParagraph"/>
        <w:ind w:left="426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32341B">
      <w:pPr>
        <w:pStyle w:val="ListParagraph"/>
        <w:numPr>
          <w:ilvl w:val="0"/>
          <w:numId w:val="4"/>
        </w:numPr>
        <w:ind w:left="426" w:hanging="426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„</w:t>
      </w:r>
      <w:r w:rsidR="00D8421B" w:rsidRPr="00E244C4">
        <w:rPr>
          <w:rFonts w:eastAsia="Times New Roman" w:cs="Times New Roman"/>
          <w:szCs w:val="20"/>
          <w:lang w:val="hr-HR" w:eastAsia="en-GB"/>
        </w:rPr>
        <w:t>Incident</w:t>
      </w:r>
      <w:r w:rsidRPr="00E244C4">
        <w:rPr>
          <w:rFonts w:eastAsia="Times New Roman" w:cs="Times New Roman"/>
          <w:szCs w:val="20"/>
          <w:lang w:val="hr-HR" w:eastAsia="en-GB"/>
        </w:rPr>
        <w:t>” znači svaki nenamjer</w:t>
      </w:r>
      <w:r w:rsidR="004F34F5" w:rsidRPr="00E244C4">
        <w:rPr>
          <w:rFonts w:eastAsia="Times New Roman" w:cs="Times New Roman"/>
          <w:szCs w:val="20"/>
          <w:lang w:val="hr-HR" w:eastAsia="en-GB"/>
        </w:rPr>
        <w:t>ava</w:t>
      </w:r>
      <w:r w:rsidRPr="00E244C4">
        <w:rPr>
          <w:rFonts w:eastAsia="Times New Roman" w:cs="Times New Roman"/>
          <w:szCs w:val="20"/>
          <w:lang w:val="hr-HR" w:eastAsia="en-GB"/>
        </w:rPr>
        <w:t>ni događaj čije posljedice ili moguće posljedice nisu zanemarive sa stajališta zaštite od zračenja ili nuklearne sigurnosti;</w:t>
      </w:r>
    </w:p>
    <w:p w:rsidR="0032341B" w:rsidRPr="00E244C4" w:rsidRDefault="0032341B" w:rsidP="0032341B">
      <w:pPr>
        <w:pStyle w:val="ListParagraph"/>
        <w:ind w:left="426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32341B">
      <w:pPr>
        <w:pStyle w:val="ListParagraph"/>
        <w:numPr>
          <w:ilvl w:val="0"/>
          <w:numId w:val="4"/>
        </w:numPr>
        <w:ind w:left="426" w:hanging="426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„</w:t>
      </w:r>
      <w:r w:rsidR="00B023AE" w:rsidRPr="00E244C4">
        <w:rPr>
          <w:rFonts w:eastAsia="Times New Roman" w:cs="Times New Roman"/>
          <w:szCs w:val="20"/>
          <w:lang w:val="hr-HR" w:eastAsia="en-GB"/>
        </w:rPr>
        <w:t>Predviđen</w:t>
      </w:r>
      <w:r w:rsidR="004E73E9" w:rsidRPr="00E244C4">
        <w:rPr>
          <w:rFonts w:eastAsia="Times New Roman" w:cs="Times New Roman"/>
          <w:szCs w:val="20"/>
          <w:lang w:val="hr-HR" w:eastAsia="en-GB"/>
        </w:rPr>
        <w:t>o</w:t>
      </w:r>
      <w:r w:rsidR="00B023AE" w:rsidRPr="00E244C4">
        <w:rPr>
          <w:rFonts w:eastAsia="Times New Roman" w:cs="Times New Roman"/>
          <w:szCs w:val="20"/>
          <w:lang w:val="hr-HR" w:eastAsia="en-GB"/>
        </w:rPr>
        <w:t xml:space="preserve"> operativn</w:t>
      </w:r>
      <w:r w:rsidR="004E73E9" w:rsidRPr="00E244C4">
        <w:rPr>
          <w:rFonts w:eastAsia="Times New Roman" w:cs="Times New Roman"/>
          <w:szCs w:val="20"/>
          <w:lang w:val="hr-HR" w:eastAsia="en-GB"/>
        </w:rPr>
        <w:t>o</w:t>
      </w:r>
      <w:r w:rsidR="00B023AE" w:rsidRPr="00E244C4">
        <w:rPr>
          <w:rFonts w:eastAsia="Times New Roman" w:cs="Times New Roman"/>
          <w:szCs w:val="20"/>
          <w:lang w:val="hr-HR" w:eastAsia="en-GB"/>
        </w:rPr>
        <w:t xml:space="preserve"> odstupanj</w:t>
      </w:r>
      <w:r w:rsidR="004E73E9" w:rsidRPr="00E244C4">
        <w:rPr>
          <w:rFonts w:eastAsia="Times New Roman" w:cs="Times New Roman"/>
          <w:szCs w:val="20"/>
          <w:lang w:val="hr-HR" w:eastAsia="en-GB"/>
        </w:rPr>
        <w:t>e</w:t>
      </w:r>
      <w:r w:rsidRPr="00E244C4">
        <w:rPr>
          <w:rFonts w:eastAsia="Times New Roman" w:cs="Times New Roman"/>
          <w:szCs w:val="20"/>
          <w:lang w:val="hr-HR" w:eastAsia="en-GB"/>
        </w:rPr>
        <w:t xml:space="preserve">” znači </w:t>
      </w:r>
      <w:r w:rsidR="002C6DA8" w:rsidRPr="00E244C4">
        <w:rPr>
          <w:rFonts w:eastAsia="Times New Roman" w:cs="Times New Roman"/>
          <w:szCs w:val="20"/>
          <w:lang w:val="hr-HR" w:eastAsia="en-GB"/>
        </w:rPr>
        <w:t>radni proces</w:t>
      </w:r>
      <w:r w:rsidRPr="00E244C4">
        <w:rPr>
          <w:rFonts w:eastAsia="Times New Roman" w:cs="Times New Roman"/>
          <w:szCs w:val="20"/>
          <w:lang w:val="hr-HR" w:eastAsia="en-GB"/>
        </w:rPr>
        <w:t xml:space="preserve"> koji odstupa od normalnog rada </w:t>
      </w:r>
      <w:r w:rsidR="00A450CB" w:rsidRPr="00E244C4">
        <w:rPr>
          <w:rFonts w:eastAsia="Times New Roman" w:cs="Times New Roman"/>
          <w:szCs w:val="20"/>
          <w:lang w:val="hr-HR" w:eastAsia="en-GB"/>
        </w:rPr>
        <w:t xml:space="preserve">i </w:t>
      </w:r>
      <w:r w:rsidRPr="00E244C4">
        <w:rPr>
          <w:rFonts w:eastAsia="Times New Roman" w:cs="Times New Roman"/>
          <w:szCs w:val="20"/>
          <w:lang w:val="hr-HR" w:eastAsia="en-GB"/>
        </w:rPr>
        <w:t xml:space="preserve">za koji se očekuje da će se pojaviti </w:t>
      </w:r>
      <w:r w:rsidR="00A450CB" w:rsidRPr="00E244C4">
        <w:rPr>
          <w:rFonts w:eastAsia="Times New Roman" w:cs="Times New Roman"/>
          <w:szCs w:val="20"/>
          <w:lang w:val="hr-HR" w:eastAsia="en-GB"/>
        </w:rPr>
        <w:t>bar</w:t>
      </w:r>
      <w:r w:rsidRPr="00E244C4">
        <w:rPr>
          <w:rFonts w:eastAsia="Times New Roman" w:cs="Times New Roman"/>
          <w:szCs w:val="20"/>
          <w:lang w:val="hr-HR" w:eastAsia="en-GB"/>
        </w:rPr>
        <w:t xml:space="preserve"> jednom t</w:t>
      </w:r>
      <w:r w:rsidR="00EF7208" w:rsidRPr="00E244C4">
        <w:rPr>
          <w:rFonts w:eastAsia="Times New Roman" w:cs="Times New Roman"/>
          <w:szCs w:val="20"/>
          <w:lang w:val="hr-HR" w:eastAsia="en-GB"/>
        </w:rPr>
        <w:t>o</w:t>
      </w:r>
      <w:r w:rsidRPr="00E244C4">
        <w:rPr>
          <w:rFonts w:eastAsia="Times New Roman" w:cs="Times New Roman"/>
          <w:szCs w:val="20"/>
          <w:lang w:val="hr-HR" w:eastAsia="en-GB"/>
        </w:rPr>
        <w:t xml:space="preserve">kom radnog vijeka </w:t>
      </w:r>
      <w:r w:rsidR="00FA5556" w:rsidRPr="00E244C4">
        <w:rPr>
          <w:rFonts w:eastAsia="Times New Roman" w:cs="Times New Roman"/>
          <w:szCs w:val="20"/>
          <w:lang w:val="hr-HR" w:eastAsia="en-GB"/>
        </w:rPr>
        <w:t>objekta</w:t>
      </w:r>
      <w:r w:rsidRPr="00E244C4">
        <w:rPr>
          <w:rFonts w:eastAsia="Times New Roman" w:cs="Times New Roman"/>
          <w:szCs w:val="20"/>
          <w:lang w:val="hr-HR" w:eastAsia="en-GB"/>
        </w:rPr>
        <w:t>, ali koji, s obzirom na odgovarajuće mjere projek</w:t>
      </w:r>
      <w:r w:rsidR="00FA5556" w:rsidRPr="00E244C4">
        <w:rPr>
          <w:rFonts w:eastAsia="Times New Roman" w:cs="Times New Roman"/>
          <w:szCs w:val="20"/>
          <w:lang w:val="hr-HR" w:eastAsia="en-GB"/>
        </w:rPr>
        <w:t>tov</w:t>
      </w:r>
      <w:r w:rsidRPr="00E244C4">
        <w:rPr>
          <w:rFonts w:eastAsia="Times New Roman" w:cs="Times New Roman"/>
          <w:szCs w:val="20"/>
          <w:lang w:val="hr-HR" w:eastAsia="en-GB"/>
        </w:rPr>
        <w:t>anja, ne uzrokuje nikakvu znatnu štetu st</w:t>
      </w:r>
      <w:r w:rsidR="00DC5305" w:rsidRPr="00E244C4">
        <w:rPr>
          <w:rFonts w:eastAsia="Times New Roman" w:cs="Times New Roman"/>
          <w:szCs w:val="20"/>
          <w:lang w:val="hr-HR" w:eastAsia="en-GB"/>
        </w:rPr>
        <w:t>vari</w:t>
      </w:r>
      <w:r w:rsidR="00A469DA" w:rsidRPr="00E244C4">
        <w:rPr>
          <w:rFonts w:eastAsia="Times New Roman" w:cs="Times New Roman"/>
          <w:szCs w:val="20"/>
          <w:lang w:val="hr-HR" w:eastAsia="en-GB"/>
        </w:rPr>
        <w:t>ma bitnim</w:t>
      </w:r>
      <w:r w:rsidRPr="00E244C4">
        <w:rPr>
          <w:rFonts w:eastAsia="Times New Roman" w:cs="Times New Roman"/>
          <w:szCs w:val="20"/>
          <w:lang w:val="hr-HR" w:eastAsia="en-GB"/>
        </w:rPr>
        <w:t xml:space="preserve"> za sigurnost ili ne dovodi do </w:t>
      </w:r>
      <w:r w:rsidR="00383FAF" w:rsidRPr="00E244C4">
        <w:rPr>
          <w:rFonts w:eastAsia="Times New Roman" w:cs="Times New Roman"/>
          <w:szCs w:val="20"/>
          <w:lang w:val="hr-HR" w:eastAsia="en-GB"/>
        </w:rPr>
        <w:t>uslov</w:t>
      </w:r>
      <w:r w:rsidRPr="00E244C4">
        <w:rPr>
          <w:rFonts w:eastAsia="Times New Roman" w:cs="Times New Roman"/>
          <w:szCs w:val="20"/>
          <w:lang w:val="hr-HR" w:eastAsia="en-GB"/>
        </w:rPr>
        <w:t xml:space="preserve">a </w:t>
      </w:r>
      <w:r w:rsidR="00D258C8" w:rsidRPr="00E244C4">
        <w:rPr>
          <w:rFonts w:eastAsia="Times New Roman" w:cs="Times New Roman"/>
          <w:szCs w:val="20"/>
          <w:lang w:val="hr-HR" w:eastAsia="en-GB"/>
        </w:rPr>
        <w:t xml:space="preserve">za </w:t>
      </w:r>
      <w:r w:rsidR="00FA5556" w:rsidRPr="00E244C4">
        <w:rPr>
          <w:rFonts w:eastAsia="Times New Roman" w:cs="Times New Roman"/>
          <w:szCs w:val="20"/>
          <w:lang w:val="hr-HR" w:eastAsia="en-GB"/>
        </w:rPr>
        <w:t>akcident</w:t>
      </w:r>
      <w:r w:rsidRPr="00E244C4">
        <w:rPr>
          <w:rFonts w:eastAsia="Times New Roman" w:cs="Times New Roman"/>
          <w:szCs w:val="20"/>
          <w:lang w:val="hr-HR" w:eastAsia="en-GB"/>
        </w:rPr>
        <w:t>;</w:t>
      </w:r>
    </w:p>
    <w:p w:rsidR="0032341B" w:rsidRPr="00E244C4" w:rsidRDefault="0032341B" w:rsidP="0032341B">
      <w:pPr>
        <w:pStyle w:val="ListParagraph"/>
        <w:ind w:left="426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32341B">
      <w:pPr>
        <w:pStyle w:val="ListParagraph"/>
        <w:numPr>
          <w:ilvl w:val="0"/>
          <w:numId w:val="4"/>
        </w:numPr>
        <w:ind w:left="426" w:hanging="426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„</w:t>
      </w:r>
      <w:r w:rsidR="00821AE8" w:rsidRPr="00E244C4">
        <w:rPr>
          <w:rFonts w:eastAsia="Times New Roman" w:cs="Times New Roman"/>
          <w:szCs w:val="20"/>
          <w:lang w:val="hr-HR" w:eastAsia="en-GB"/>
        </w:rPr>
        <w:t>P</w:t>
      </w:r>
      <w:r w:rsidRPr="00E244C4">
        <w:rPr>
          <w:rFonts w:eastAsia="Times New Roman" w:cs="Times New Roman"/>
          <w:szCs w:val="20"/>
          <w:lang w:val="hr-HR" w:eastAsia="en-GB"/>
        </w:rPr>
        <w:t>rojektna osnova” znači niz u</w:t>
      </w:r>
      <w:r w:rsidR="00EA45AC" w:rsidRPr="00E244C4">
        <w:rPr>
          <w:rFonts w:eastAsia="Times New Roman" w:cs="Times New Roman"/>
          <w:szCs w:val="20"/>
          <w:lang w:val="hr-HR" w:eastAsia="en-GB"/>
        </w:rPr>
        <w:t>slov</w:t>
      </w:r>
      <w:r w:rsidRPr="00E244C4">
        <w:rPr>
          <w:rFonts w:eastAsia="Times New Roman" w:cs="Times New Roman"/>
          <w:szCs w:val="20"/>
          <w:lang w:val="hr-HR" w:eastAsia="en-GB"/>
        </w:rPr>
        <w:t>a i događaja koji se</w:t>
      </w:r>
      <w:r w:rsidR="00600627" w:rsidRPr="00E244C4">
        <w:rPr>
          <w:rFonts w:eastAsia="Times New Roman" w:cs="Times New Roman"/>
          <w:szCs w:val="20"/>
          <w:lang w:val="hr-HR" w:eastAsia="en-GB"/>
        </w:rPr>
        <w:t xml:space="preserve"> u skladu s utvrđenim kriterijima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izričito uzimaju u obzir pri projekt</w:t>
      </w:r>
      <w:r w:rsidR="00EF7208" w:rsidRPr="00E244C4">
        <w:rPr>
          <w:rFonts w:eastAsia="Times New Roman" w:cs="Times New Roman"/>
          <w:szCs w:val="20"/>
          <w:lang w:val="hr-HR" w:eastAsia="en-GB"/>
        </w:rPr>
        <w:t>ov</w:t>
      </w:r>
      <w:r w:rsidRPr="00E244C4">
        <w:rPr>
          <w:rFonts w:eastAsia="Times New Roman" w:cs="Times New Roman"/>
          <w:szCs w:val="20"/>
          <w:lang w:val="hr-HR" w:eastAsia="en-GB"/>
        </w:rPr>
        <w:t xml:space="preserve">anju nuklearnog </w:t>
      </w:r>
      <w:r w:rsidR="00EF7208" w:rsidRPr="00E244C4">
        <w:rPr>
          <w:rFonts w:eastAsia="Times New Roman" w:cs="Times New Roman"/>
          <w:szCs w:val="20"/>
          <w:lang w:val="hr-HR" w:eastAsia="en-GB"/>
        </w:rPr>
        <w:t>objekta</w:t>
      </w:r>
      <w:r w:rsidRPr="00E244C4">
        <w:rPr>
          <w:rFonts w:eastAsia="Times New Roman" w:cs="Times New Roman"/>
          <w:szCs w:val="20"/>
          <w:lang w:val="hr-HR" w:eastAsia="en-GB"/>
        </w:rPr>
        <w:t>, uključujući njegov</w:t>
      </w:r>
      <w:r w:rsidR="00600627" w:rsidRPr="00E244C4">
        <w:rPr>
          <w:rFonts w:eastAsia="Times New Roman" w:cs="Times New Roman"/>
          <w:szCs w:val="20"/>
          <w:lang w:val="hr-HR" w:eastAsia="en-GB"/>
        </w:rPr>
        <w:t>o modernizovanje</w:t>
      </w:r>
      <w:r w:rsidRPr="00E244C4">
        <w:rPr>
          <w:rFonts w:eastAsia="Times New Roman" w:cs="Times New Roman"/>
          <w:szCs w:val="20"/>
          <w:lang w:val="hr-HR" w:eastAsia="en-GB"/>
        </w:rPr>
        <w:t xml:space="preserve">, </w:t>
      </w:r>
      <w:r w:rsidR="000570D9" w:rsidRPr="00E244C4">
        <w:rPr>
          <w:rFonts w:eastAsia="Times New Roman" w:cs="Times New Roman"/>
          <w:szCs w:val="20"/>
          <w:lang w:val="hr-HR" w:eastAsia="en-GB"/>
        </w:rPr>
        <w:t>tako da objekt</w:t>
      </w:r>
      <w:r w:rsidRPr="00E244C4">
        <w:rPr>
          <w:rFonts w:eastAsia="Times New Roman" w:cs="Times New Roman"/>
          <w:szCs w:val="20"/>
          <w:lang w:val="hr-HR" w:eastAsia="en-GB"/>
        </w:rPr>
        <w:t xml:space="preserve"> može </w:t>
      </w:r>
      <w:r w:rsidR="00A529FD" w:rsidRPr="00E244C4">
        <w:rPr>
          <w:rFonts w:eastAsia="Times New Roman" w:cs="Times New Roman"/>
          <w:szCs w:val="20"/>
          <w:lang w:val="hr-HR" w:eastAsia="en-GB"/>
        </w:rPr>
        <w:t xml:space="preserve">uz planirani rad sigurnosnih sistema </w:t>
      </w:r>
      <w:r w:rsidRPr="00E244C4">
        <w:rPr>
          <w:rFonts w:eastAsia="Times New Roman" w:cs="Times New Roman"/>
          <w:szCs w:val="20"/>
          <w:lang w:val="hr-HR" w:eastAsia="en-GB"/>
        </w:rPr>
        <w:t xml:space="preserve">izdržati </w:t>
      </w:r>
      <w:r w:rsidR="000570D9" w:rsidRPr="00E244C4">
        <w:rPr>
          <w:rFonts w:eastAsia="Times New Roman" w:cs="Times New Roman"/>
          <w:szCs w:val="20"/>
          <w:lang w:val="hr-HR" w:eastAsia="en-GB"/>
        </w:rPr>
        <w:t>te uslove i događaje</w:t>
      </w:r>
      <w:r w:rsidR="00DC5305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8F4828" w:rsidRPr="00E244C4">
        <w:rPr>
          <w:rFonts w:eastAsia="Times New Roman" w:cs="Times New Roman"/>
          <w:szCs w:val="20"/>
          <w:lang w:val="hr-HR" w:eastAsia="en-GB"/>
        </w:rPr>
        <w:t>bez prekoračivanja dozvoljenih granica</w:t>
      </w:r>
      <w:r w:rsidRPr="00E244C4">
        <w:rPr>
          <w:rFonts w:eastAsia="Times New Roman" w:cs="Times New Roman"/>
          <w:szCs w:val="20"/>
          <w:lang w:val="hr-HR" w:eastAsia="en-GB"/>
        </w:rPr>
        <w:t>;</w:t>
      </w:r>
    </w:p>
    <w:p w:rsidR="00553769" w:rsidRPr="00E244C4" w:rsidRDefault="00553769" w:rsidP="00553769">
      <w:pPr>
        <w:pStyle w:val="ListParagraph"/>
        <w:ind w:left="426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32341B">
      <w:pPr>
        <w:pStyle w:val="ListParagraph"/>
        <w:numPr>
          <w:ilvl w:val="0"/>
          <w:numId w:val="4"/>
        </w:numPr>
        <w:ind w:left="426" w:hanging="426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 „</w:t>
      </w:r>
      <w:r w:rsidR="003E5E48" w:rsidRPr="00E244C4">
        <w:rPr>
          <w:rFonts w:eastAsia="Times New Roman" w:cs="Times New Roman"/>
          <w:szCs w:val="20"/>
          <w:lang w:val="hr-HR" w:eastAsia="en-GB"/>
        </w:rPr>
        <w:t>Akcident predviđen p</w:t>
      </w:r>
      <w:r w:rsidRPr="00E244C4">
        <w:rPr>
          <w:rFonts w:eastAsia="Times New Roman" w:cs="Times New Roman"/>
          <w:szCs w:val="20"/>
          <w:lang w:val="hr-HR" w:eastAsia="en-GB"/>
        </w:rPr>
        <w:t xml:space="preserve">rojektom” znači </w:t>
      </w:r>
      <w:r w:rsidR="00383FAF" w:rsidRPr="00E244C4">
        <w:rPr>
          <w:rFonts w:eastAsia="Times New Roman" w:cs="Times New Roman"/>
          <w:szCs w:val="20"/>
          <w:lang w:val="hr-HR" w:eastAsia="en-GB"/>
        </w:rPr>
        <w:t>uslov</w:t>
      </w:r>
      <w:r w:rsidRPr="00E244C4">
        <w:rPr>
          <w:rFonts w:eastAsia="Times New Roman" w:cs="Times New Roman"/>
          <w:szCs w:val="20"/>
          <w:lang w:val="hr-HR" w:eastAsia="en-GB"/>
        </w:rPr>
        <w:t xml:space="preserve">i </w:t>
      </w:r>
      <w:r w:rsidR="00DC5305" w:rsidRPr="00E244C4">
        <w:rPr>
          <w:rFonts w:eastAsia="Times New Roman" w:cs="Times New Roman"/>
          <w:szCs w:val="20"/>
          <w:lang w:val="hr-HR" w:eastAsia="en-GB"/>
        </w:rPr>
        <w:t>akcidenta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DC5305" w:rsidRPr="00E244C4">
        <w:rPr>
          <w:rFonts w:eastAsia="Times New Roman" w:cs="Times New Roman"/>
          <w:szCs w:val="20"/>
          <w:lang w:val="hr-HR" w:eastAsia="en-GB"/>
        </w:rPr>
        <w:t>za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koje je nuklearn</w:t>
      </w:r>
      <w:r w:rsidR="00DC5305" w:rsidRPr="00E244C4">
        <w:rPr>
          <w:rFonts w:eastAsia="Times New Roman" w:cs="Times New Roman"/>
          <w:szCs w:val="20"/>
          <w:lang w:val="hr-HR" w:eastAsia="en-GB"/>
        </w:rPr>
        <w:t>i objekt</w:t>
      </w:r>
      <w:r w:rsidRPr="00E244C4">
        <w:rPr>
          <w:rFonts w:eastAsia="Times New Roman" w:cs="Times New Roman"/>
          <w:szCs w:val="20"/>
          <w:lang w:val="hr-HR" w:eastAsia="en-GB"/>
        </w:rPr>
        <w:t xml:space="preserve"> projekt</w:t>
      </w:r>
      <w:r w:rsidR="00381319" w:rsidRPr="00E244C4">
        <w:rPr>
          <w:rFonts w:eastAsia="Times New Roman" w:cs="Times New Roman"/>
          <w:szCs w:val="20"/>
          <w:lang w:val="hr-HR" w:eastAsia="en-GB"/>
        </w:rPr>
        <w:t>ov</w:t>
      </w:r>
      <w:r w:rsidR="00DC5305" w:rsidRPr="00E244C4">
        <w:rPr>
          <w:rFonts w:eastAsia="Times New Roman" w:cs="Times New Roman"/>
          <w:szCs w:val="20"/>
          <w:lang w:val="hr-HR" w:eastAsia="en-GB"/>
        </w:rPr>
        <w:t>an</w:t>
      </w:r>
      <w:r w:rsidRPr="00E244C4">
        <w:rPr>
          <w:rFonts w:eastAsia="Times New Roman" w:cs="Times New Roman"/>
          <w:szCs w:val="20"/>
          <w:lang w:val="hr-HR" w:eastAsia="en-GB"/>
        </w:rPr>
        <w:t xml:space="preserve"> u skladu s utvrđenim projektnim kriterijima i </w:t>
      </w:r>
      <w:r w:rsidR="00A529FD" w:rsidRPr="00E244C4">
        <w:rPr>
          <w:rFonts w:eastAsia="Times New Roman" w:cs="Times New Roman"/>
          <w:szCs w:val="20"/>
          <w:lang w:val="hr-HR" w:eastAsia="en-GB"/>
        </w:rPr>
        <w:t>u kojima</w:t>
      </w:r>
      <w:r w:rsidR="00023790" w:rsidRPr="00E244C4">
        <w:rPr>
          <w:rFonts w:eastAsia="Times New Roman" w:cs="Times New Roman"/>
          <w:szCs w:val="20"/>
          <w:lang w:val="hr-HR" w:eastAsia="en-GB"/>
        </w:rPr>
        <w:t xml:space="preserve"> šteta nanesena gorivu</w:t>
      </w:r>
      <w:r w:rsidRPr="00E244C4">
        <w:rPr>
          <w:rFonts w:eastAsia="Times New Roman" w:cs="Times New Roman"/>
          <w:szCs w:val="20"/>
          <w:lang w:val="hr-HR" w:eastAsia="en-GB"/>
        </w:rPr>
        <w:t xml:space="preserve">, </w:t>
      </w:r>
      <w:r w:rsidR="00A529FD" w:rsidRPr="00E244C4">
        <w:rPr>
          <w:rFonts w:eastAsia="Times New Roman" w:cs="Times New Roman"/>
          <w:szCs w:val="20"/>
          <w:lang w:val="hr-HR" w:eastAsia="en-GB"/>
        </w:rPr>
        <w:t>ako je ima</w:t>
      </w:r>
      <w:r w:rsidRPr="00E244C4">
        <w:rPr>
          <w:rFonts w:eastAsia="Times New Roman" w:cs="Times New Roman"/>
          <w:szCs w:val="20"/>
          <w:lang w:val="hr-HR" w:eastAsia="en-GB"/>
        </w:rPr>
        <w:t>, te ispuštanje radioaktivnog materijala ostaju unutar dozvoljenih granica;</w:t>
      </w:r>
    </w:p>
    <w:p w:rsidR="0032341B" w:rsidRPr="00E244C4" w:rsidRDefault="0032341B" w:rsidP="0032341B">
      <w:pPr>
        <w:pStyle w:val="ListParagraph"/>
        <w:ind w:left="426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821AE8" w:rsidP="0032341B">
      <w:pPr>
        <w:pStyle w:val="ListParagraph"/>
        <w:numPr>
          <w:ilvl w:val="0"/>
          <w:numId w:val="4"/>
        </w:numPr>
        <w:ind w:left="426" w:hanging="426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„</w:t>
      </w:r>
      <w:r w:rsidR="003C6CCA" w:rsidRPr="00E244C4">
        <w:rPr>
          <w:rFonts w:eastAsia="Times New Roman" w:cs="Times New Roman"/>
          <w:szCs w:val="20"/>
          <w:lang w:val="hr-HR" w:eastAsia="en-GB"/>
        </w:rPr>
        <w:t>Ozbiljni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u</w:t>
      </w:r>
      <w:r w:rsidRPr="00E244C4">
        <w:rPr>
          <w:rFonts w:eastAsia="Times New Roman" w:cs="Times New Roman"/>
          <w:szCs w:val="20"/>
          <w:lang w:val="hr-HR" w:eastAsia="en-GB"/>
        </w:rPr>
        <w:t>slovi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” znači </w:t>
      </w:r>
      <w:r w:rsidR="00383FAF" w:rsidRPr="00E244C4">
        <w:rPr>
          <w:rFonts w:eastAsia="Times New Roman" w:cs="Times New Roman"/>
          <w:szCs w:val="20"/>
          <w:lang w:val="hr-HR" w:eastAsia="en-GB"/>
        </w:rPr>
        <w:t>uslov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i koji su teži od </w:t>
      </w:r>
      <w:r w:rsidR="00383FAF" w:rsidRPr="00E244C4">
        <w:rPr>
          <w:rFonts w:eastAsia="Times New Roman" w:cs="Times New Roman"/>
          <w:szCs w:val="20"/>
          <w:lang w:val="hr-HR" w:eastAsia="en-GB"/>
        </w:rPr>
        <w:t>uslov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a </w:t>
      </w:r>
      <w:r w:rsidR="00A305EF" w:rsidRPr="00E244C4">
        <w:rPr>
          <w:rFonts w:eastAsia="Times New Roman" w:cs="Times New Roman"/>
          <w:szCs w:val="20"/>
          <w:lang w:val="hr-HR" w:eastAsia="en-GB"/>
        </w:rPr>
        <w:t>kod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3E5E48" w:rsidRPr="00E244C4">
        <w:rPr>
          <w:rFonts w:eastAsia="Times New Roman" w:cs="Times New Roman"/>
          <w:szCs w:val="20"/>
          <w:lang w:val="hr-HR" w:eastAsia="en-GB"/>
        </w:rPr>
        <w:t>akciden</w:t>
      </w:r>
      <w:r w:rsidR="00A305EF" w:rsidRPr="00E244C4">
        <w:rPr>
          <w:rFonts w:eastAsia="Times New Roman" w:cs="Times New Roman"/>
          <w:szCs w:val="20"/>
          <w:lang w:val="hr-HR" w:eastAsia="en-GB"/>
        </w:rPr>
        <w:t>a</w:t>
      </w:r>
      <w:r w:rsidR="003E5E48" w:rsidRPr="00E244C4">
        <w:rPr>
          <w:rFonts w:eastAsia="Times New Roman" w:cs="Times New Roman"/>
          <w:szCs w:val="20"/>
          <w:lang w:val="hr-HR" w:eastAsia="en-GB"/>
        </w:rPr>
        <w:t>t</w:t>
      </w:r>
      <w:r w:rsidR="00A305EF" w:rsidRPr="00E244C4">
        <w:rPr>
          <w:rFonts w:eastAsia="Times New Roman" w:cs="Times New Roman"/>
          <w:szCs w:val="20"/>
          <w:lang w:val="hr-HR" w:eastAsia="en-GB"/>
        </w:rPr>
        <w:t>a</w:t>
      </w:r>
      <w:r w:rsidR="003E5E48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371F52" w:rsidRPr="00E244C4">
        <w:rPr>
          <w:rFonts w:eastAsia="Times New Roman" w:cs="Times New Roman"/>
          <w:szCs w:val="20"/>
          <w:lang w:val="hr-HR" w:eastAsia="en-GB"/>
        </w:rPr>
        <w:t>predviđen</w:t>
      </w:r>
      <w:r w:rsidR="00EF7208" w:rsidRPr="00E244C4">
        <w:rPr>
          <w:rFonts w:eastAsia="Times New Roman" w:cs="Times New Roman"/>
          <w:szCs w:val="20"/>
          <w:lang w:val="hr-HR" w:eastAsia="en-GB"/>
        </w:rPr>
        <w:t>i</w:t>
      </w:r>
      <w:r w:rsidR="00A305EF" w:rsidRPr="00E244C4">
        <w:rPr>
          <w:rFonts w:eastAsia="Times New Roman" w:cs="Times New Roman"/>
          <w:szCs w:val="20"/>
          <w:lang w:val="hr-HR" w:eastAsia="en-GB"/>
        </w:rPr>
        <w:t>h</w:t>
      </w:r>
      <w:r w:rsidR="003E5E48" w:rsidRPr="00E244C4">
        <w:rPr>
          <w:rFonts w:eastAsia="Times New Roman" w:cs="Times New Roman"/>
          <w:szCs w:val="20"/>
          <w:lang w:val="hr-HR" w:eastAsia="en-GB"/>
        </w:rPr>
        <w:t xml:space="preserve"> projektom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; takvi </w:t>
      </w:r>
      <w:r w:rsidR="00383FAF" w:rsidRPr="00E244C4">
        <w:rPr>
          <w:rFonts w:eastAsia="Times New Roman" w:cs="Times New Roman"/>
          <w:szCs w:val="20"/>
          <w:lang w:val="hr-HR" w:eastAsia="en-GB"/>
        </w:rPr>
        <w:t>uslov</w:t>
      </w:r>
      <w:r w:rsidR="00371F52" w:rsidRPr="00E244C4">
        <w:rPr>
          <w:rFonts w:eastAsia="Times New Roman" w:cs="Times New Roman"/>
          <w:szCs w:val="20"/>
          <w:lang w:val="hr-HR" w:eastAsia="en-GB"/>
        </w:rPr>
        <w:t>i mogu biti prouzro</w:t>
      </w:r>
      <w:r w:rsidR="00A305EF" w:rsidRPr="00E244C4">
        <w:rPr>
          <w:rFonts w:eastAsia="Times New Roman" w:cs="Times New Roman"/>
          <w:szCs w:val="20"/>
          <w:lang w:val="hr-HR" w:eastAsia="en-GB"/>
        </w:rPr>
        <w:t>kova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ni višestrukim kvarovima poput potpunog zakazivanja svih </w:t>
      </w:r>
      <w:r w:rsidR="00A305EF" w:rsidRPr="00E244C4">
        <w:rPr>
          <w:rFonts w:eastAsia="Times New Roman" w:cs="Times New Roman"/>
          <w:szCs w:val="20"/>
          <w:lang w:val="hr-HR" w:eastAsia="en-GB"/>
        </w:rPr>
        <w:t>ni</w:t>
      </w:r>
      <w:r w:rsidR="00285817" w:rsidRPr="00E244C4">
        <w:rPr>
          <w:rFonts w:eastAsia="Times New Roman" w:cs="Times New Roman"/>
          <w:szCs w:val="20"/>
          <w:lang w:val="hr-HR" w:eastAsia="en-GB"/>
        </w:rPr>
        <w:t>zova dijelova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sigurnosnog s</w:t>
      </w:r>
      <w:r w:rsidR="00F86E99" w:rsidRPr="00E244C4">
        <w:rPr>
          <w:rFonts w:eastAsia="Times New Roman" w:cs="Times New Roman"/>
          <w:szCs w:val="20"/>
          <w:lang w:val="hr-HR" w:eastAsia="en-GB"/>
        </w:rPr>
        <w:t>istema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ili </w:t>
      </w:r>
      <w:r w:rsidR="00330219" w:rsidRPr="00E244C4">
        <w:rPr>
          <w:rFonts w:eastAsia="Times New Roman" w:cs="Times New Roman"/>
          <w:szCs w:val="20"/>
          <w:lang w:val="hr-HR" w:eastAsia="en-GB"/>
        </w:rPr>
        <w:t>krajnje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330219" w:rsidRPr="00E244C4">
        <w:rPr>
          <w:rFonts w:eastAsia="Times New Roman" w:cs="Times New Roman"/>
          <w:szCs w:val="20"/>
          <w:lang w:val="hr-HR" w:eastAsia="en-GB"/>
        </w:rPr>
        <w:t>nevjerojatnim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330219" w:rsidRPr="00E244C4">
        <w:rPr>
          <w:rFonts w:eastAsia="Times New Roman" w:cs="Times New Roman"/>
          <w:szCs w:val="20"/>
          <w:lang w:val="hr-HR" w:eastAsia="en-GB"/>
        </w:rPr>
        <w:t>događajem</w:t>
      </w:r>
      <w:r w:rsidR="00371F52" w:rsidRPr="00E244C4">
        <w:rPr>
          <w:rFonts w:eastAsia="Times New Roman" w:cs="Times New Roman"/>
          <w:szCs w:val="20"/>
          <w:lang w:val="hr-HR" w:eastAsia="en-GB"/>
        </w:rPr>
        <w:t>.</w:t>
      </w:r>
    </w:p>
    <w:p w:rsidR="00371F52" w:rsidRPr="00E244C4" w:rsidRDefault="00371F52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32341B">
      <w:pPr>
        <w:jc w:val="center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POGLAVLJE 2</w:t>
      </w:r>
    </w:p>
    <w:p w:rsidR="00371F52" w:rsidRPr="00E244C4" w:rsidRDefault="00371F52" w:rsidP="0032341B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E244C4">
        <w:rPr>
          <w:rFonts w:eastAsia="Times New Roman" w:cs="Times New Roman"/>
          <w:b/>
          <w:szCs w:val="20"/>
          <w:lang w:val="hr-HR" w:eastAsia="en-GB"/>
        </w:rPr>
        <w:t>OB</w:t>
      </w:r>
      <w:r w:rsidR="0032341B" w:rsidRPr="00E244C4">
        <w:rPr>
          <w:rFonts w:eastAsia="Times New Roman" w:cs="Times New Roman"/>
          <w:b/>
          <w:szCs w:val="20"/>
          <w:lang w:val="hr-HR" w:eastAsia="en-GB"/>
        </w:rPr>
        <w:t>A</w:t>
      </w:r>
      <w:r w:rsidRPr="00E244C4">
        <w:rPr>
          <w:rFonts w:eastAsia="Times New Roman" w:cs="Times New Roman"/>
          <w:b/>
          <w:szCs w:val="20"/>
          <w:lang w:val="hr-HR" w:eastAsia="en-GB"/>
        </w:rPr>
        <w:t>VEZE</w:t>
      </w:r>
    </w:p>
    <w:p w:rsidR="00371F52" w:rsidRPr="00E244C4" w:rsidRDefault="00371F52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32341B">
      <w:pPr>
        <w:jc w:val="center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ODJELJAK 1.</w:t>
      </w:r>
    </w:p>
    <w:p w:rsidR="00371F52" w:rsidRPr="00E244C4" w:rsidRDefault="00371F52" w:rsidP="0032341B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E244C4">
        <w:rPr>
          <w:rFonts w:eastAsia="Times New Roman" w:cs="Times New Roman"/>
          <w:b/>
          <w:szCs w:val="20"/>
          <w:lang w:val="hr-HR" w:eastAsia="en-GB"/>
        </w:rPr>
        <w:t>Op</w:t>
      </w:r>
      <w:r w:rsidR="0099477C" w:rsidRPr="00E244C4">
        <w:rPr>
          <w:rFonts w:eastAsia="Times New Roman" w:cs="Times New Roman"/>
          <w:b/>
          <w:szCs w:val="20"/>
          <w:lang w:val="hr-HR" w:eastAsia="en-GB"/>
        </w:rPr>
        <w:t>šte</w:t>
      </w:r>
      <w:r w:rsidRPr="00E244C4">
        <w:rPr>
          <w:rFonts w:eastAsia="Times New Roman" w:cs="Times New Roman"/>
          <w:b/>
          <w:szCs w:val="20"/>
          <w:lang w:val="hr-HR" w:eastAsia="en-GB"/>
        </w:rPr>
        <w:t xml:space="preserve"> ob</w:t>
      </w:r>
      <w:r w:rsidR="0099477C" w:rsidRPr="00E244C4">
        <w:rPr>
          <w:rFonts w:eastAsia="Times New Roman" w:cs="Times New Roman"/>
          <w:b/>
          <w:szCs w:val="20"/>
          <w:lang w:val="hr-HR" w:eastAsia="en-GB"/>
        </w:rPr>
        <w:t>a</w:t>
      </w:r>
      <w:r w:rsidRPr="00E244C4">
        <w:rPr>
          <w:rFonts w:eastAsia="Times New Roman" w:cs="Times New Roman"/>
          <w:b/>
          <w:szCs w:val="20"/>
          <w:lang w:val="hr-HR" w:eastAsia="en-GB"/>
        </w:rPr>
        <w:t>veze</w:t>
      </w:r>
    </w:p>
    <w:p w:rsidR="0032341B" w:rsidRPr="00E244C4" w:rsidRDefault="0032341B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32341B">
      <w:pPr>
        <w:jc w:val="center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Član 4.</w:t>
      </w:r>
    </w:p>
    <w:p w:rsidR="00371F52" w:rsidRPr="00E244C4" w:rsidRDefault="00371F52" w:rsidP="0032341B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E244C4">
        <w:rPr>
          <w:rFonts w:eastAsia="Times New Roman" w:cs="Times New Roman"/>
          <w:b/>
          <w:szCs w:val="20"/>
          <w:lang w:val="hr-HR" w:eastAsia="en-GB"/>
        </w:rPr>
        <w:t>Zakonodavni, regulatorni i organizaci</w:t>
      </w:r>
      <w:r w:rsidR="00821AE8" w:rsidRPr="00E244C4">
        <w:rPr>
          <w:rFonts w:eastAsia="Times New Roman" w:cs="Times New Roman"/>
          <w:b/>
          <w:szCs w:val="20"/>
          <w:lang w:val="hr-HR" w:eastAsia="en-GB"/>
        </w:rPr>
        <w:t>oni</w:t>
      </w:r>
      <w:r w:rsidRPr="00E244C4">
        <w:rPr>
          <w:rFonts w:eastAsia="Times New Roman" w:cs="Times New Roman"/>
          <w:b/>
          <w:szCs w:val="20"/>
          <w:lang w:val="hr-HR" w:eastAsia="en-GB"/>
        </w:rPr>
        <w:t xml:space="preserve"> okvir</w:t>
      </w:r>
    </w:p>
    <w:p w:rsidR="0032341B" w:rsidRPr="00E244C4" w:rsidRDefault="0032341B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821AE8">
      <w:pPr>
        <w:pStyle w:val="ListParagraph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Države članice uspostavljaju i održavaju </w:t>
      </w:r>
      <w:r w:rsidR="00821AE8" w:rsidRPr="00E244C4">
        <w:rPr>
          <w:rFonts w:eastAsia="Times New Roman" w:cs="Times New Roman"/>
          <w:szCs w:val="20"/>
          <w:lang w:val="hr-HR" w:eastAsia="en-GB"/>
        </w:rPr>
        <w:t>državni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zakonodavni, regulatorni i organizaci</w:t>
      </w:r>
      <w:r w:rsidR="00821AE8" w:rsidRPr="00E244C4">
        <w:rPr>
          <w:rFonts w:eastAsia="Times New Roman" w:cs="Times New Roman"/>
          <w:szCs w:val="20"/>
          <w:lang w:val="hr-HR" w:eastAsia="en-GB"/>
        </w:rPr>
        <w:t>oni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okvir (</w:t>
      </w:r>
      <w:r w:rsidR="00553769" w:rsidRPr="00E244C4">
        <w:rPr>
          <w:rFonts w:eastAsia="Times New Roman" w:cs="Times New Roman"/>
          <w:szCs w:val="20"/>
          <w:lang w:val="hr-HR" w:eastAsia="en-GB"/>
        </w:rPr>
        <w:t xml:space="preserve">u daljem tekstu: </w:t>
      </w:r>
      <w:r w:rsidR="00821AE8" w:rsidRPr="00E244C4">
        <w:rPr>
          <w:rFonts w:eastAsia="Times New Roman" w:cs="Times New Roman"/>
          <w:szCs w:val="20"/>
          <w:lang w:val="hr-HR" w:eastAsia="en-GB"/>
        </w:rPr>
        <w:t>državni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okvir) za nuklearnu sigurnost nuklearnih </w:t>
      </w:r>
      <w:r w:rsidR="00753B05" w:rsidRPr="00E244C4">
        <w:rPr>
          <w:rFonts w:eastAsia="Times New Roman" w:cs="Times New Roman"/>
          <w:szCs w:val="20"/>
          <w:lang w:val="hr-HR" w:eastAsia="en-GB"/>
        </w:rPr>
        <w:t>objekata</w:t>
      </w:r>
      <w:r w:rsidRPr="00E244C4">
        <w:rPr>
          <w:rFonts w:eastAsia="Times New Roman" w:cs="Times New Roman"/>
          <w:szCs w:val="20"/>
          <w:lang w:val="hr-HR" w:eastAsia="en-GB"/>
        </w:rPr>
        <w:t xml:space="preserve">. </w:t>
      </w:r>
      <w:r w:rsidR="00B13B05" w:rsidRPr="00E244C4">
        <w:rPr>
          <w:rFonts w:eastAsia="Times New Roman" w:cs="Times New Roman"/>
          <w:szCs w:val="20"/>
          <w:lang w:val="hr-HR" w:eastAsia="en-GB"/>
        </w:rPr>
        <w:t>Državnim</w:t>
      </w:r>
      <w:r w:rsidRPr="00E244C4">
        <w:rPr>
          <w:rFonts w:eastAsia="Times New Roman" w:cs="Times New Roman"/>
          <w:szCs w:val="20"/>
          <w:lang w:val="hr-HR" w:eastAsia="en-GB"/>
        </w:rPr>
        <w:t xml:space="preserve"> okvirom </w:t>
      </w:r>
      <w:r w:rsidR="00B13B05" w:rsidRPr="00E244C4">
        <w:rPr>
          <w:rFonts w:eastAsia="Times New Roman" w:cs="Times New Roman"/>
          <w:szCs w:val="20"/>
          <w:lang w:val="hr-HR" w:eastAsia="en-GB"/>
        </w:rPr>
        <w:t xml:space="preserve">se </w:t>
      </w:r>
      <w:r w:rsidRPr="00E244C4">
        <w:rPr>
          <w:rFonts w:eastAsia="Times New Roman" w:cs="Times New Roman"/>
          <w:szCs w:val="20"/>
          <w:lang w:val="hr-HR" w:eastAsia="en-GB"/>
        </w:rPr>
        <w:t>posebno predviđaju:</w:t>
      </w:r>
    </w:p>
    <w:p w:rsidR="00821AE8" w:rsidRPr="00E244C4" w:rsidRDefault="00821AE8" w:rsidP="00821AE8">
      <w:pPr>
        <w:pStyle w:val="ListParagraph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174B8F" w:rsidP="00185525">
      <w:pPr>
        <w:pStyle w:val="ListParagraph"/>
        <w:numPr>
          <w:ilvl w:val="0"/>
          <w:numId w:val="7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rasp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odjela odgovornosti i koordinacija između relevantnih državnih </w:t>
      </w:r>
      <w:r w:rsidRPr="00E244C4">
        <w:rPr>
          <w:rFonts w:eastAsia="Times New Roman" w:cs="Times New Roman"/>
          <w:szCs w:val="20"/>
          <w:lang w:val="hr-HR" w:eastAsia="en-GB"/>
        </w:rPr>
        <w:t>organa</w:t>
      </w:r>
      <w:r w:rsidR="00371F52" w:rsidRPr="00E244C4">
        <w:rPr>
          <w:rFonts w:eastAsia="Times New Roman" w:cs="Times New Roman"/>
          <w:szCs w:val="20"/>
          <w:lang w:val="hr-HR" w:eastAsia="en-GB"/>
        </w:rPr>
        <w:t>;</w:t>
      </w:r>
    </w:p>
    <w:p w:rsidR="00185525" w:rsidRPr="00E244C4" w:rsidRDefault="00185525" w:rsidP="00185525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185525">
      <w:pPr>
        <w:pStyle w:val="ListParagraph"/>
        <w:numPr>
          <w:ilvl w:val="0"/>
          <w:numId w:val="7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zahtjevi </w:t>
      </w:r>
      <w:r w:rsidR="00185525" w:rsidRPr="00E244C4">
        <w:rPr>
          <w:rFonts w:eastAsia="Times New Roman" w:cs="Times New Roman"/>
          <w:szCs w:val="20"/>
          <w:lang w:val="hr-HR" w:eastAsia="en-GB"/>
        </w:rPr>
        <w:t xml:space="preserve">države </w:t>
      </w:r>
      <w:r w:rsidR="00174B8F" w:rsidRPr="00E244C4">
        <w:rPr>
          <w:rFonts w:eastAsia="Times New Roman" w:cs="Times New Roman"/>
          <w:szCs w:val="20"/>
          <w:lang w:val="hr-HR" w:eastAsia="en-GB"/>
        </w:rPr>
        <w:t>za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nuklearn</w:t>
      </w:r>
      <w:r w:rsidR="00174B8F" w:rsidRPr="00E244C4">
        <w:rPr>
          <w:rFonts w:eastAsia="Times New Roman" w:cs="Times New Roman"/>
          <w:szCs w:val="20"/>
          <w:lang w:val="hr-HR" w:eastAsia="en-GB"/>
        </w:rPr>
        <w:t>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sigurnost koji obuhva</w:t>
      </w:r>
      <w:r w:rsidR="00B13B05" w:rsidRPr="00E244C4">
        <w:rPr>
          <w:rFonts w:eastAsia="Times New Roman" w:cs="Times New Roman"/>
          <w:szCs w:val="20"/>
          <w:lang w:val="hr-HR" w:eastAsia="en-GB"/>
        </w:rPr>
        <w:t>t</w:t>
      </w:r>
      <w:r w:rsidRPr="00E244C4">
        <w:rPr>
          <w:rFonts w:eastAsia="Times New Roman" w:cs="Times New Roman"/>
          <w:szCs w:val="20"/>
          <w:lang w:val="hr-HR" w:eastAsia="en-GB"/>
        </w:rPr>
        <w:t xml:space="preserve">aju sve faze </w:t>
      </w:r>
      <w:r w:rsidR="007A4F5B" w:rsidRPr="00E244C4">
        <w:rPr>
          <w:rFonts w:eastAsia="Times New Roman" w:cs="Times New Roman"/>
          <w:szCs w:val="20"/>
          <w:lang w:val="hr-HR" w:eastAsia="en-GB"/>
        </w:rPr>
        <w:t>radnog vijeka</w:t>
      </w:r>
      <w:r w:rsidR="00174B8F" w:rsidRPr="00E244C4">
        <w:rPr>
          <w:rFonts w:eastAsia="Times New Roman" w:cs="Times New Roman"/>
          <w:szCs w:val="20"/>
          <w:lang w:val="hr-HR" w:eastAsia="en-GB"/>
        </w:rPr>
        <w:tab/>
      </w:r>
      <w:r w:rsidRPr="00E244C4">
        <w:rPr>
          <w:rFonts w:eastAsia="Times New Roman" w:cs="Times New Roman"/>
          <w:szCs w:val="20"/>
          <w:lang w:val="hr-HR" w:eastAsia="en-GB"/>
        </w:rPr>
        <w:t xml:space="preserve">nuklearnih </w:t>
      </w:r>
      <w:r w:rsidR="00753B05" w:rsidRPr="00E244C4">
        <w:rPr>
          <w:rFonts w:eastAsia="Times New Roman" w:cs="Times New Roman"/>
          <w:szCs w:val="20"/>
          <w:lang w:val="hr-HR" w:eastAsia="en-GB"/>
        </w:rPr>
        <w:t>objekata</w:t>
      </w:r>
      <w:r w:rsidRPr="00E244C4">
        <w:rPr>
          <w:rFonts w:eastAsia="Times New Roman" w:cs="Times New Roman"/>
          <w:szCs w:val="20"/>
          <w:lang w:val="hr-HR" w:eastAsia="en-GB"/>
        </w:rPr>
        <w:t>;</w:t>
      </w:r>
    </w:p>
    <w:p w:rsidR="00185525" w:rsidRPr="00E244C4" w:rsidRDefault="00185525" w:rsidP="00185525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185525" w:rsidP="00185525">
      <w:pPr>
        <w:pStyle w:val="ListParagraph"/>
        <w:numPr>
          <w:ilvl w:val="0"/>
          <w:numId w:val="7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ab/>
      </w:r>
      <w:r w:rsidR="00821AE8" w:rsidRPr="00E244C4">
        <w:rPr>
          <w:rFonts w:eastAsia="Times New Roman" w:cs="Times New Roman"/>
          <w:szCs w:val="20"/>
          <w:lang w:val="hr-HR" w:eastAsia="en-GB"/>
        </w:rPr>
        <w:t>sistem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izdavanja </w:t>
      </w:r>
      <w:r w:rsidR="00821AE8" w:rsidRPr="00E244C4">
        <w:rPr>
          <w:rFonts w:eastAsia="Times New Roman" w:cs="Times New Roman"/>
          <w:szCs w:val="20"/>
          <w:lang w:val="hr-HR" w:eastAsia="en-GB"/>
        </w:rPr>
        <w:t>licenci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i zabran</w:t>
      </w:r>
      <w:r w:rsidR="00174B8F" w:rsidRPr="00E244C4">
        <w:rPr>
          <w:rFonts w:eastAsia="Times New Roman" w:cs="Times New Roman"/>
          <w:szCs w:val="20"/>
          <w:lang w:val="hr-HR" w:eastAsia="en-GB"/>
        </w:rPr>
        <w:t>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rada nuklearnih </w:t>
      </w:r>
      <w:r w:rsidR="00753B05" w:rsidRPr="00E244C4">
        <w:rPr>
          <w:rFonts w:eastAsia="Times New Roman" w:cs="Times New Roman"/>
          <w:szCs w:val="20"/>
          <w:lang w:val="hr-HR" w:eastAsia="en-GB"/>
        </w:rPr>
        <w:t>objekata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bez </w:t>
      </w:r>
      <w:r w:rsidR="00174B8F" w:rsidRPr="00E244C4">
        <w:rPr>
          <w:rFonts w:eastAsia="Times New Roman" w:cs="Times New Roman"/>
          <w:szCs w:val="20"/>
          <w:lang w:val="hr-HR" w:eastAsia="en-GB"/>
        </w:rPr>
        <w:t>licence</w:t>
      </w:r>
      <w:r w:rsidR="00371F52" w:rsidRPr="00E244C4">
        <w:rPr>
          <w:rFonts w:eastAsia="Times New Roman" w:cs="Times New Roman"/>
          <w:szCs w:val="20"/>
          <w:lang w:val="hr-HR" w:eastAsia="en-GB"/>
        </w:rPr>
        <w:t>;</w:t>
      </w:r>
    </w:p>
    <w:p w:rsidR="00185525" w:rsidRPr="00E244C4" w:rsidRDefault="00185525" w:rsidP="00185525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185525">
      <w:pPr>
        <w:pStyle w:val="ListParagraph"/>
        <w:numPr>
          <w:ilvl w:val="0"/>
          <w:numId w:val="7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lastRenderedPageBreak/>
        <w:t>s</w:t>
      </w:r>
      <w:r w:rsidR="0059653F" w:rsidRPr="00E244C4">
        <w:rPr>
          <w:rFonts w:eastAsia="Times New Roman" w:cs="Times New Roman"/>
          <w:szCs w:val="20"/>
          <w:lang w:val="hr-HR" w:eastAsia="en-GB"/>
        </w:rPr>
        <w:t>istem</w:t>
      </w:r>
      <w:r w:rsidRPr="00E244C4">
        <w:rPr>
          <w:rFonts w:eastAsia="Times New Roman" w:cs="Times New Roman"/>
          <w:szCs w:val="20"/>
          <w:lang w:val="hr-HR" w:eastAsia="en-GB"/>
        </w:rPr>
        <w:t xml:space="preserve"> regulatorne kontrole nuklearne sigurnosti koju obavlja nadležn</w:t>
      </w:r>
      <w:r w:rsidR="00174B8F" w:rsidRPr="00E244C4">
        <w:rPr>
          <w:rFonts w:eastAsia="Times New Roman" w:cs="Times New Roman"/>
          <w:szCs w:val="20"/>
          <w:lang w:val="hr-HR" w:eastAsia="en-GB"/>
        </w:rPr>
        <w:t>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185525" w:rsidRPr="00E244C4">
        <w:rPr>
          <w:rFonts w:eastAsia="Times New Roman" w:cs="Times New Roman"/>
          <w:szCs w:val="20"/>
          <w:lang w:val="hr-HR" w:eastAsia="en-GB"/>
        </w:rPr>
        <w:tab/>
      </w:r>
      <w:r w:rsidRPr="00E244C4">
        <w:rPr>
          <w:rFonts w:eastAsia="Times New Roman" w:cs="Times New Roman"/>
          <w:szCs w:val="20"/>
          <w:lang w:val="hr-HR" w:eastAsia="en-GB"/>
        </w:rPr>
        <w:t>regulatorn</w:t>
      </w:r>
      <w:r w:rsidR="0059653F" w:rsidRPr="00E244C4">
        <w:rPr>
          <w:rFonts w:eastAsia="Times New Roman" w:cs="Times New Roman"/>
          <w:szCs w:val="20"/>
          <w:lang w:val="hr-HR" w:eastAsia="en-GB"/>
        </w:rPr>
        <w:t>i organ</w:t>
      </w:r>
      <w:r w:rsidRPr="00E244C4">
        <w:rPr>
          <w:rFonts w:eastAsia="Times New Roman" w:cs="Times New Roman"/>
          <w:szCs w:val="20"/>
          <w:lang w:val="hr-HR" w:eastAsia="en-GB"/>
        </w:rPr>
        <w:t>;</w:t>
      </w:r>
    </w:p>
    <w:p w:rsidR="002F128D" w:rsidRPr="00E244C4" w:rsidRDefault="002F128D" w:rsidP="002F128D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E106F9" w:rsidP="00185525">
      <w:pPr>
        <w:pStyle w:val="ListParagraph"/>
        <w:numPr>
          <w:ilvl w:val="0"/>
          <w:numId w:val="7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efikasn</w:t>
      </w:r>
      <w:r w:rsidR="00174B8F" w:rsidRPr="00E244C4">
        <w:rPr>
          <w:rFonts w:eastAsia="Times New Roman" w:cs="Times New Roman"/>
          <w:szCs w:val="20"/>
          <w:lang w:val="hr-HR" w:eastAsia="en-GB"/>
        </w:rPr>
        <w:t>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i proporcionaln</w:t>
      </w:r>
      <w:r w:rsidR="00174B8F" w:rsidRPr="00E244C4">
        <w:rPr>
          <w:rFonts w:eastAsia="Times New Roman" w:cs="Times New Roman"/>
          <w:szCs w:val="20"/>
          <w:lang w:val="hr-HR" w:eastAsia="en-GB"/>
        </w:rPr>
        <w:t xml:space="preserve">e </w:t>
      </w:r>
      <w:r w:rsidR="00D9697C" w:rsidRPr="00E244C4">
        <w:rPr>
          <w:rFonts w:eastAsia="Times New Roman" w:cs="Times New Roman"/>
          <w:szCs w:val="20"/>
          <w:lang w:val="hr-HR" w:eastAsia="en-GB"/>
        </w:rPr>
        <w:t xml:space="preserve">izvršne </w:t>
      </w:r>
      <w:r w:rsidR="00174B8F" w:rsidRPr="00E244C4">
        <w:rPr>
          <w:rFonts w:eastAsia="Times New Roman" w:cs="Times New Roman"/>
          <w:szCs w:val="20"/>
          <w:lang w:val="hr-HR" w:eastAsia="en-GB"/>
        </w:rPr>
        <w:t>mjere</w:t>
      </w:r>
      <w:r w:rsidR="00371F52" w:rsidRPr="00E244C4">
        <w:rPr>
          <w:rFonts w:eastAsia="Times New Roman" w:cs="Times New Roman"/>
          <w:szCs w:val="20"/>
          <w:lang w:val="hr-HR" w:eastAsia="en-GB"/>
        </w:rPr>
        <w:t>, uključujući p</w:t>
      </w:r>
      <w:r w:rsidR="00174B8F" w:rsidRPr="00E244C4">
        <w:rPr>
          <w:rFonts w:eastAsia="Times New Roman" w:cs="Times New Roman"/>
          <w:szCs w:val="20"/>
          <w:lang w:val="hr-HR" w:eastAsia="en-GB"/>
        </w:rPr>
        <w:t>o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potrebi</w:t>
      </w:r>
      <w:r w:rsidR="00174B8F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371F52" w:rsidRPr="00E244C4">
        <w:rPr>
          <w:rFonts w:eastAsia="Times New Roman" w:cs="Times New Roman"/>
          <w:szCs w:val="20"/>
          <w:lang w:val="hr-HR" w:eastAsia="en-GB"/>
        </w:rPr>
        <w:t>korektivn</w:t>
      </w:r>
      <w:r w:rsidRPr="00E244C4">
        <w:rPr>
          <w:rFonts w:eastAsia="Times New Roman" w:cs="Times New Roman"/>
          <w:szCs w:val="20"/>
          <w:lang w:val="hr-HR" w:eastAsia="en-GB"/>
        </w:rPr>
        <w:t>e mjere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174B8F"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ili </w:t>
      </w:r>
      <w:r w:rsidR="00174B8F" w:rsidRPr="00E244C4">
        <w:rPr>
          <w:rFonts w:eastAsia="Times New Roman" w:cs="Times New Roman"/>
          <w:szCs w:val="20"/>
          <w:lang w:val="hr-HR" w:eastAsia="en-GB"/>
        </w:rPr>
        <w:t>prekid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rada i izmjenu ili </w:t>
      </w:r>
      <w:r w:rsidR="00174B8F" w:rsidRPr="00E244C4">
        <w:rPr>
          <w:rFonts w:eastAsia="Times New Roman" w:cs="Times New Roman"/>
          <w:szCs w:val="20"/>
          <w:lang w:val="hr-HR" w:eastAsia="en-GB"/>
        </w:rPr>
        <w:t>oduzimanje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59653F" w:rsidRPr="00E244C4">
        <w:rPr>
          <w:rFonts w:eastAsia="Times New Roman" w:cs="Times New Roman"/>
          <w:szCs w:val="20"/>
          <w:lang w:val="hr-HR" w:eastAsia="en-GB"/>
        </w:rPr>
        <w:t>licence</w:t>
      </w:r>
      <w:r w:rsidR="00371F52" w:rsidRPr="00E244C4">
        <w:rPr>
          <w:rFonts w:eastAsia="Times New Roman" w:cs="Times New Roman"/>
          <w:szCs w:val="20"/>
          <w:lang w:val="hr-HR" w:eastAsia="en-GB"/>
        </w:rPr>
        <w:t>.</w:t>
      </w:r>
    </w:p>
    <w:p w:rsidR="00821AE8" w:rsidRPr="00E244C4" w:rsidRDefault="00821AE8" w:rsidP="00821AE8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821AE8">
      <w:pPr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Određivanje načina na koji se donose </w:t>
      </w:r>
      <w:r w:rsidR="0059653F" w:rsidRPr="00E244C4">
        <w:rPr>
          <w:rFonts w:eastAsia="Times New Roman" w:cs="Times New Roman"/>
          <w:szCs w:val="20"/>
          <w:lang w:val="hr-HR" w:eastAsia="en-GB"/>
        </w:rPr>
        <w:t>državni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zahtjevi </w:t>
      </w:r>
      <w:r w:rsidR="00174B8F" w:rsidRPr="00E244C4">
        <w:rPr>
          <w:rFonts w:eastAsia="Times New Roman" w:cs="Times New Roman"/>
          <w:szCs w:val="20"/>
          <w:lang w:val="hr-HR" w:eastAsia="en-GB"/>
        </w:rPr>
        <w:t>za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nuklearn</w:t>
      </w:r>
      <w:r w:rsidR="00174B8F" w:rsidRPr="00E244C4">
        <w:rPr>
          <w:rFonts w:eastAsia="Times New Roman" w:cs="Times New Roman"/>
          <w:szCs w:val="20"/>
          <w:lang w:val="hr-HR" w:eastAsia="en-GB"/>
        </w:rPr>
        <w:t>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sigurnost iz t</w:t>
      </w:r>
      <w:r w:rsidR="0059653F" w:rsidRPr="00E244C4">
        <w:rPr>
          <w:rFonts w:eastAsia="Times New Roman" w:cs="Times New Roman"/>
          <w:szCs w:val="20"/>
          <w:lang w:val="hr-HR" w:eastAsia="en-GB"/>
        </w:rPr>
        <w:t>a</w:t>
      </w:r>
      <w:r w:rsidRPr="00E244C4">
        <w:rPr>
          <w:rFonts w:eastAsia="Times New Roman" w:cs="Times New Roman"/>
          <w:szCs w:val="20"/>
          <w:lang w:val="hr-HR" w:eastAsia="en-GB"/>
        </w:rPr>
        <w:t>čke (b) i instrumenta putem kojeg se oni primjenjuju ostaje u nadležnosti država članica.</w:t>
      </w:r>
    </w:p>
    <w:p w:rsidR="00821AE8" w:rsidRPr="00E244C4" w:rsidRDefault="00821AE8" w:rsidP="00821AE8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821AE8">
      <w:pPr>
        <w:pStyle w:val="ListParagraph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Države članice </w:t>
      </w:r>
      <w:r w:rsidR="00D9697C" w:rsidRPr="00E244C4">
        <w:rPr>
          <w:rFonts w:eastAsia="Times New Roman" w:cs="Times New Roman"/>
          <w:szCs w:val="20"/>
          <w:lang w:val="hr-HR" w:eastAsia="en-GB"/>
        </w:rPr>
        <w:t>osiguravaju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da se </w:t>
      </w:r>
      <w:r w:rsidR="0059653F" w:rsidRPr="00E244C4">
        <w:rPr>
          <w:rFonts w:eastAsia="Times New Roman" w:cs="Times New Roman"/>
          <w:szCs w:val="20"/>
          <w:lang w:val="hr-HR" w:eastAsia="en-GB"/>
        </w:rPr>
        <w:t xml:space="preserve">državni </w:t>
      </w:r>
      <w:r w:rsidRPr="00E244C4">
        <w:rPr>
          <w:rFonts w:eastAsia="Times New Roman" w:cs="Times New Roman"/>
          <w:szCs w:val="20"/>
          <w:lang w:val="hr-HR" w:eastAsia="en-GB"/>
        </w:rPr>
        <w:t>okvir održava i p</w:t>
      </w:r>
      <w:r w:rsidR="00174B8F" w:rsidRPr="00E244C4">
        <w:rPr>
          <w:rFonts w:eastAsia="Times New Roman" w:cs="Times New Roman"/>
          <w:szCs w:val="20"/>
          <w:lang w:val="hr-HR" w:eastAsia="en-GB"/>
        </w:rPr>
        <w:t>o</w:t>
      </w:r>
      <w:r w:rsidRPr="00E244C4">
        <w:rPr>
          <w:rFonts w:eastAsia="Times New Roman" w:cs="Times New Roman"/>
          <w:szCs w:val="20"/>
          <w:lang w:val="hr-HR" w:eastAsia="en-GB"/>
        </w:rPr>
        <w:t xml:space="preserve"> potrebi poboljšava</w:t>
      </w:r>
      <w:r w:rsidR="00174B8F" w:rsidRPr="00E244C4">
        <w:rPr>
          <w:rFonts w:eastAsia="Times New Roman" w:cs="Times New Roman"/>
          <w:szCs w:val="20"/>
          <w:lang w:val="hr-HR" w:eastAsia="en-GB"/>
        </w:rPr>
        <w:t>,</w:t>
      </w:r>
      <w:r w:rsidRPr="00E244C4">
        <w:rPr>
          <w:rFonts w:eastAsia="Times New Roman" w:cs="Times New Roman"/>
          <w:szCs w:val="20"/>
          <w:lang w:val="hr-HR" w:eastAsia="en-GB"/>
        </w:rPr>
        <w:t xml:space="preserve"> uzimajući u obzir </w:t>
      </w:r>
      <w:r w:rsidR="00174B8F" w:rsidRPr="00E244C4">
        <w:rPr>
          <w:rFonts w:eastAsia="Times New Roman" w:cs="Times New Roman"/>
          <w:szCs w:val="20"/>
          <w:lang w:val="hr-HR" w:eastAsia="en-GB"/>
        </w:rPr>
        <w:t xml:space="preserve">operativno </w:t>
      </w:r>
      <w:r w:rsidRPr="00E244C4">
        <w:rPr>
          <w:rFonts w:eastAsia="Times New Roman" w:cs="Times New Roman"/>
          <w:szCs w:val="20"/>
          <w:lang w:val="hr-HR" w:eastAsia="en-GB"/>
        </w:rPr>
        <w:t xml:space="preserve">iskustvo, saznanja stečena analizom sigurnosti nuklearnih </w:t>
      </w:r>
      <w:r w:rsidR="00753B05" w:rsidRPr="00E244C4">
        <w:rPr>
          <w:rFonts w:eastAsia="Times New Roman" w:cs="Times New Roman"/>
          <w:szCs w:val="20"/>
          <w:lang w:val="hr-HR" w:eastAsia="en-GB"/>
        </w:rPr>
        <w:t>objekata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u </w:t>
      </w:r>
      <w:r w:rsidR="00174B8F" w:rsidRPr="00E244C4">
        <w:rPr>
          <w:rFonts w:eastAsia="Times New Roman" w:cs="Times New Roman"/>
          <w:szCs w:val="20"/>
          <w:lang w:val="hr-HR" w:eastAsia="en-GB"/>
        </w:rPr>
        <w:t>funkciji</w:t>
      </w:r>
      <w:r w:rsidRPr="00E244C4">
        <w:rPr>
          <w:rFonts w:eastAsia="Times New Roman" w:cs="Times New Roman"/>
          <w:szCs w:val="20"/>
          <w:lang w:val="hr-HR" w:eastAsia="en-GB"/>
        </w:rPr>
        <w:t xml:space="preserve">, </w:t>
      </w:r>
      <w:r w:rsidR="00D9697C" w:rsidRPr="00E244C4">
        <w:rPr>
          <w:rFonts w:eastAsia="Times New Roman" w:cs="Times New Roman"/>
          <w:szCs w:val="20"/>
          <w:lang w:val="hr-HR" w:eastAsia="en-GB"/>
        </w:rPr>
        <w:t xml:space="preserve">kroz </w:t>
      </w:r>
      <w:r w:rsidRPr="00E244C4">
        <w:rPr>
          <w:rFonts w:eastAsia="Times New Roman" w:cs="Times New Roman"/>
          <w:szCs w:val="20"/>
          <w:lang w:val="hr-HR" w:eastAsia="en-GB"/>
        </w:rPr>
        <w:t>razvoj tehnologije i rezultat</w:t>
      </w:r>
      <w:r w:rsidR="00D9697C" w:rsidRPr="00E244C4">
        <w:rPr>
          <w:rFonts w:eastAsia="Times New Roman" w:cs="Times New Roman"/>
          <w:szCs w:val="20"/>
          <w:lang w:val="hr-HR" w:eastAsia="en-GB"/>
        </w:rPr>
        <w:t>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istraživanja sigurnosti ako je to dostupno i relevantno.</w:t>
      </w:r>
    </w:p>
    <w:p w:rsidR="00821AE8" w:rsidRPr="00E244C4" w:rsidRDefault="00821AE8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821AE8" w:rsidP="00821AE8">
      <w:pPr>
        <w:jc w:val="center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Član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5.</w:t>
      </w:r>
    </w:p>
    <w:p w:rsidR="00371F52" w:rsidRPr="00E244C4" w:rsidRDefault="00371F52" w:rsidP="00821AE8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E244C4">
        <w:rPr>
          <w:rFonts w:eastAsia="Times New Roman" w:cs="Times New Roman"/>
          <w:b/>
          <w:szCs w:val="20"/>
          <w:lang w:val="hr-HR" w:eastAsia="en-GB"/>
        </w:rPr>
        <w:t>Nadležn</w:t>
      </w:r>
      <w:r w:rsidR="00821AE8" w:rsidRPr="00E244C4">
        <w:rPr>
          <w:rFonts w:eastAsia="Times New Roman" w:cs="Times New Roman"/>
          <w:b/>
          <w:szCs w:val="20"/>
          <w:lang w:val="hr-HR" w:eastAsia="en-GB"/>
        </w:rPr>
        <w:t>i</w:t>
      </w:r>
      <w:r w:rsidRPr="00E244C4">
        <w:rPr>
          <w:rFonts w:eastAsia="Times New Roman" w:cs="Times New Roman"/>
          <w:b/>
          <w:szCs w:val="20"/>
          <w:lang w:val="hr-HR" w:eastAsia="en-GB"/>
        </w:rPr>
        <w:t xml:space="preserve"> regulatorn</w:t>
      </w:r>
      <w:r w:rsidR="00821AE8" w:rsidRPr="00E244C4">
        <w:rPr>
          <w:rFonts w:eastAsia="Times New Roman" w:cs="Times New Roman"/>
          <w:b/>
          <w:szCs w:val="20"/>
          <w:lang w:val="hr-HR" w:eastAsia="en-GB"/>
        </w:rPr>
        <w:t>i organ</w:t>
      </w:r>
    </w:p>
    <w:p w:rsidR="00821AE8" w:rsidRPr="00E244C4" w:rsidRDefault="00821AE8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B13B05">
      <w:pPr>
        <w:pStyle w:val="ListParagraph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Države članice osnivaju nadležn</w:t>
      </w:r>
      <w:r w:rsidR="003C494A" w:rsidRPr="00E244C4">
        <w:rPr>
          <w:rFonts w:eastAsia="Times New Roman" w:cs="Times New Roman"/>
          <w:szCs w:val="20"/>
          <w:lang w:val="hr-HR" w:eastAsia="en-GB"/>
        </w:rPr>
        <w:t>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regulatorn</w:t>
      </w:r>
      <w:r w:rsidR="003C494A" w:rsidRPr="00E244C4">
        <w:rPr>
          <w:rFonts w:eastAsia="Times New Roman" w:cs="Times New Roman"/>
          <w:szCs w:val="20"/>
          <w:lang w:val="hr-HR" w:eastAsia="en-GB"/>
        </w:rPr>
        <w:t>i</w:t>
      </w:r>
      <w:r w:rsidR="00270A36" w:rsidRPr="00E244C4">
        <w:rPr>
          <w:rFonts w:eastAsia="Times New Roman" w:cs="Times New Roman"/>
          <w:szCs w:val="20"/>
          <w:lang w:val="hr-HR" w:eastAsia="en-GB"/>
        </w:rPr>
        <w:t xml:space="preserve"> organ</w:t>
      </w:r>
      <w:r w:rsidRPr="00E244C4">
        <w:rPr>
          <w:rFonts w:eastAsia="Times New Roman" w:cs="Times New Roman"/>
          <w:szCs w:val="20"/>
          <w:lang w:val="hr-HR" w:eastAsia="en-GB"/>
        </w:rPr>
        <w:t xml:space="preserve"> u </w:t>
      </w:r>
      <w:r w:rsidR="00D9697C" w:rsidRPr="00E244C4">
        <w:rPr>
          <w:rFonts w:eastAsia="Times New Roman" w:cs="Times New Roman"/>
          <w:szCs w:val="20"/>
          <w:lang w:val="hr-HR" w:eastAsia="en-GB"/>
        </w:rPr>
        <w:t>oblasti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nuklearne sigurnosti nuklearnih </w:t>
      </w:r>
      <w:r w:rsidR="00753B05" w:rsidRPr="00E244C4">
        <w:rPr>
          <w:rFonts w:eastAsia="Times New Roman" w:cs="Times New Roman"/>
          <w:szCs w:val="20"/>
          <w:lang w:val="hr-HR" w:eastAsia="en-GB"/>
        </w:rPr>
        <w:t>objekata</w:t>
      </w:r>
      <w:r w:rsidR="003C494A" w:rsidRPr="00E244C4">
        <w:rPr>
          <w:rFonts w:eastAsia="Times New Roman" w:cs="Times New Roman"/>
          <w:szCs w:val="20"/>
          <w:lang w:val="hr-HR" w:eastAsia="en-GB"/>
        </w:rPr>
        <w:t xml:space="preserve"> i održavaju </w:t>
      </w:r>
      <w:r w:rsidR="006D29FC" w:rsidRPr="00E244C4">
        <w:rPr>
          <w:rFonts w:eastAsia="Times New Roman" w:cs="Times New Roman"/>
          <w:szCs w:val="20"/>
          <w:lang w:val="hr-HR" w:eastAsia="en-GB"/>
        </w:rPr>
        <w:t xml:space="preserve">njegov </w:t>
      </w:r>
      <w:r w:rsidR="003C494A" w:rsidRPr="00E244C4">
        <w:rPr>
          <w:rFonts w:eastAsia="Times New Roman" w:cs="Times New Roman"/>
          <w:szCs w:val="20"/>
          <w:lang w:val="hr-HR" w:eastAsia="en-GB"/>
        </w:rPr>
        <w:t>nivo</w:t>
      </w:r>
      <w:r w:rsidRPr="00E244C4">
        <w:rPr>
          <w:rFonts w:eastAsia="Times New Roman" w:cs="Times New Roman"/>
          <w:szCs w:val="20"/>
          <w:lang w:val="hr-HR" w:eastAsia="en-GB"/>
        </w:rPr>
        <w:t>.</w:t>
      </w:r>
    </w:p>
    <w:p w:rsidR="00821AE8" w:rsidRPr="00E244C4" w:rsidRDefault="00821AE8" w:rsidP="0059653F">
      <w:pPr>
        <w:pStyle w:val="ListParagraph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B13B05">
      <w:pPr>
        <w:pStyle w:val="ListParagraph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Države članice osiguravaju </w:t>
      </w:r>
      <w:r w:rsidR="00174B8F" w:rsidRPr="00E244C4">
        <w:rPr>
          <w:rFonts w:eastAsia="Times New Roman" w:cs="Times New Roman"/>
          <w:szCs w:val="20"/>
          <w:lang w:val="hr-HR" w:eastAsia="en-GB"/>
        </w:rPr>
        <w:t>efektivnu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ne</w:t>
      </w:r>
      <w:r w:rsidR="007D1AC8" w:rsidRPr="00E244C4">
        <w:rPr>
          <w:rFonts w:eastAsia="Times New Roman" w:cs="Times New Roman"/>
          <w:szCs w:val="20"/>
          <w:lang w:val="hr-HR" w:eastAsia="en-GB"/>
        </w:rPr>
        <w:t>za</w:t>
      </w:r>
      <w:r w:rsidRPr="00E244C4">
        <w:rPr>
          <w:rFonts w:eastAsia="Times New Roman" w:cs="Times New Roman"/>
          <w:szCs w:val="20"/>
          <w:lang w:val="hr-HR" w:eastAsia="en-GB"/>
        </w:rPr>
        <w:t>visnost nadležn</w:t>
      </w:r>
      <w:r w:rsidR="00174B8F" w:rsidRPr="00E244C4">
        <w:rPr>
          <w:rFonts w:eastAsia="Times New Roman" w:cs="Times New Roman"/>
          <w:szCs w:val="20"/>
          <w:lang w:val="hr-HR" w:eastAsia="en-GB"/>
        </w:rPr>
        <w:t>og</w:t>
      </w:r>
      <w:r w:rsidRPr="00E244C4">
        <w:rPr>
          <w:rFonts w:eastAsia="Times New Roman" w:cs="Times New Roman"/>
          <w:szCs w:val="20"/>
          <w:lang w:val="hr-HR" w:eastAsia="en-GB"/>
        </w:rPr>
        <w:t xml:space="preserve"> regulatorn</w:t>
      </w:r>
      <w:r w:rsidR="00174B8F" w:rsidRPr="00E244C4">
        <w:rPr>
          <w:rFonts w:eastAsia="Times New Roman" w:cs="Times New Roman"/>
          <w:szCs w:val="20"/>
          <w:lang w:val="hr-HR" w:eastAsia="en-GB"/>
        </w:rPr>
        <w:t>og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270A36" w:rsidRPr="00E244C4">
        <w:rPr>
          <w:rFonts w:eastAsia="Times New Roman" w:cs="Times New Roman"/>
          <w:szCs w:val="20"/>
          <w:lang w:val="hr-HR" w:eastAsia="en-GB"/>
        </w:rPr>
        <w:t>organa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od neprimjerenog ut</w:t>
      </w:r>
      <w:r w:rsidR="00270A36" w:rsidRPr="00E244C4">
        <w:rPr>
          <w:rFonts w:eastAsia="Times New Roman" w:cs="Times New Roman"/>
          <w:szCs w:val="20"/>
          <w:lang w:val="hr-HR" w:eastAsia="en-GB"/>
        </w:rPr>
        <w:t>i</w:t>
      </w:r>
      <w:r w:rsidRPr="00E244C4">
        <w:rPr>
          <w:rFonts w:eastAsia="Times New Roman" w:cs="Times New Roman"/>
          <w:szCs w:val="20"/>
          <w:lang w:val="hr-HR" w:eastAsia="en-GB"/>
        </w:rPr>
        <w:t xml:space="preserve">caja </w:t>
      </w:r>
      <w:r w:rsidR="00174B8F" w:rsidRPr="00E244C4">
        <w:rPr>
          <w:rFonts w:eastAsia="Times New Roman" w:cs="Times New Roman"/>
          <w:szCs w:val="20"/>
          <w:lang w:val="hr-HR" w:eastAsia="en-GB"/>
        </w:rPr>
        <w:t>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nj</w:t>
      </w:r>
      <w:r w:rsidR="00174B8F" w:rsidRPr="00E244C4">
        <w:rPr>
          <w:rFonts w:eastAsia="Times New Roman" w:cs="Times New Roman"/>
          <w:szCs w:val="20"/>
          <w:lang w:val="hr-HR" w:eastAsia="en-GB"/>
        </w:rPr>
        <w:t>eg</w:t>
      </w:r>
      <w:r w:rsidRPr="00E244C4">
        <w:rPr>
          <w:rFonts w:eastAsia="Times New Roman" w:cs="Times New Roman"/>
          <w:szCs w:val="20"/>
          <w:lang w:val="hr-HR" w:eastAsia="en-GB"/>
        </w:rPr>
        <w:t xml:space="preserve">ovom regulatornom odlučivanju. U tu svrhu države članice osiguravaju da </w:t>
      </w:r>
      <w:r w:rsidR="00270A36" w:rsidRPr="00E244C4">
        <w:rPr>
          <w:rFonts w:eastAsia="Times New Roman" w:cs="Times New Roman"/>
          <w:szCs w:val="20"/>
          <w:lang w:val="hr-HR" w:eastAsia="en-GB"/>
        </w:rPr>
        <w:t>državni</w:t>
      </w:r>
      <w:r w:rsidR="00B40E7D" w:rsidRPr="00E244C4">
        <w:rPr>
          <w:rFonts w:eastAsia="Times New Roman" w:cs="Times New Roman"/>
          <w:szCs w:val="20"/>
          <w:lang w:val="hr-HR" w:eastAsia="en-GB"/>
        </w:rPr>
        <w:t xml:space="preserve"> okvir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174B8F" w:rsidRPr="00E244C4">
        <w:rPr>
          <w:rFonts w:eastAsia="Times New Roman" w:cs="Times New Roman"/>
          <w:szCs w:val="20"/>
          <w:lang w:val="hr-HR" w:eastAsia="en-GB"/>
        </w:rPr>
        <w:t>propi</w:t>
      </w:r>
      <w:r w:rsidR="008C68A6" w:rsidRPr="00E244C4">
        <w:rPr>
          <w:rFonts w:eastAsia="Times New Roman" w:cs="Times New Roman"/>
          <w:szCs w:val="20"/>
          <w:lang w:val="hr-HR" w:eastAsia="en-GB"/>
        </w:rPr>
        <w:t>suje</w:t>
      </w:r>
      <w:r w:rsidR="00174B8F" w:rsidRPr="00E244C4">
        <w:rPr>
          <w:rFonts w:eastAsia="Times New Roman" w:cs="Times New Roman"/>
          <w:szCs w:val="20"/>
          <w:lang w:val="hr-HR" w:eastAsia="en-GB"/>
        </w:rPr>
        <w:t xml:space="preserve"> da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nadležn</w:t>
      </w:r>
      <w:r w:rsidR="00270A36" w:rsidRPr="00E244C4">
        <w:rPr>
          <w:rFonts w:eastAsia="Times New Roman" w:cs="Times New Roman"/>
          <w:szCs w:val="20"/>
          <w:lang w:val="hr-HR" w:eastAsia="en-GB"/>
        </w:rPr>
        <w:t>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regulatorn</w:t>
      </w:r>
      <w:r w:rsidR="00270A36" w:rsidRPr="00E244C4">
        <w:rPr>
          <w:rFonts w:eastAsia="Times New Roman" w:cs="Times New Roman"/>
          <w:szCs w:val="20"/>
          <w:lang w:val="hr-HR" w:eastAsia="en-GB"/>
        </w:rPr>
        <w:t>i organ</w:t>
      </w:r>
      <w:r w:rsidRPr="00E244C4">
        <w:rPr>
          <w:rFonts w:eastAsia="Times New Roman" w:cs="Times New Roman"/>
          <w:szCs w:val="20"/>
          <w:lang w:val="hr-HR" w:eastAsia="en-GB"/>
        </w:rPr>
        <w:t>:</w:t>
      </w:r>
    </w:p>
    <w:p w:rsidR="0059653F" w:rsidRPr="00E244C4" w:rsidRDefault="0059653F" w:rsidP="0059653F">
      <w:pPr>
        <w:pStyle w:val="ListParagraph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F53A7D">
      <w:pPr>
        <w:pStyle w:val="ListParagraph"/>
        <w:numPr>
          <w:ilvl w:val="0"/>
          <w:numId w:val="19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bude funkcionalno odvojen od bilo kog drugog tijela ili organizacije koji se </w:t>
      </w:r>
      <w:r w:rsidR="008D25C9" w:rsidRPr="00E244C4">
        <w:rPr>
          <w:rFonts w:eastAsia="Times New Roman" w:cs="Times New Roman"/>
          <w:szCs w:val="20"/>
          <w:lang w:val="hr-HR" w:eastAsia="en-GB"/>
        </w:rPr>
        <w:tab/>
      </w:r>
      <w:r w:rsidRPr="00E244C4">
        <w:rPr>
          <w:rFonts w:eastAsia="Times New Roman" w:cs="Times New Roman"/>
          <w:szCs w:val="20"/>
          <w:lang w:val="hr-HR" w:eastAsia="en-GB"/>
        </w:rPr>
        <w:t>bave p</w:t>
      </w:r>
      <w:r w:rsidR="006D29FC" w:rsidRPr="00E244C4">
        <w:rPr>
          <w:rFonts w:eastAsia="Times New Roman" w:cs="Times New Roman"/>
          <w:szCs w:val="20"/>
          <w:lang w:val="hr-HR" w:eastAsia="en-GB"/>
        </w:rPr>
        <w:t>odsticanjem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ili upotrebom nuklearne energije, i </w:t>
      </w:r>
      <w:r w:rsidR="00174B8F" w:rsidRPr="00E244C4">
        <w:rPr>
          <w:rFonts w:eastAsia="Times New Roman" w:cs="Times New Roman"/>
          <w:szCs w:val="20"/>
          <w:lang w:val="hr-HR" w:eastAsia="en-GB"/>
        </w:rPr>
        <w:t xml:space="preserve">da </w:t>
      </w:r>
      <w:r w:rsidRPr="00E244C4">
        <w:rPr>
          <w:rFonts w:eastAsia="Times New Roman" w:cs="Times New Roman"/>
          <w:szCs w:val="20"/>
          <w:lang w:val="hr-HR" w:eastAsia="en-GB"/>
        </w:rPr>
        <w:t xml:space="preserve">ne traži niti prima </w:t>
      </w:r>
      <w:r w:rsidR="00174B8F" w:rsidRPr="00E244C4">
        <w:rPr>
          <w:rFonts w:eastAsia="Times New Roman" w:cs="Times New Roman"/>
          <w:szCs w:val="20"/>
          <w:lang w:val="hr-HR" w:eastAsia="en-GB"/>
        </w:rPr>
        <w:tab/>
      </w:r>
      <w:r w:rsidR="00F53A7D" w:rsidRPr="00E244C4">
        <w:rPr>
          <w:rFonts w:eastAsia="Times New Roman" w:cs="Times New Roman"/>
          <w:szCs w:val="20"/>
          <w:lang w:val="hr-HR" w:eastAsia="en-GB"/>
        </w:rPr>
        <w:t>uputstva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od bilo kog takvog tijela ili organizacije pri provođenju svojih </w:t>
      </w:r>
      <w:r w:rsidR="00174B8F" w:rsidRPr="00E244C4">
        <w:rPr>
          <w:rFonts w:eastAsia="Times New Roman" w:cs="Times New Roman"/>
          <w:szCs w:val="20"/>
          <w:lang w:val="hr-HR" w:eastAsia="en-GB"/>
        </w:rPr>
        <w:tab/>
      </w:r>
      <w:r w:rsidRPr="00E244C4">
        <w:rPr>
          <w:rFonts w:eastAsia="Times New Roman" w:cs="Times New Roman"/>
          <w:szCs w:val="20"/>
          <w:lang w:val="hr-HR" w:eastAsia="en-GB"/>
        </w:rPr>
        <w:t>regulatornih</w:t>
      </w:r>
      <w:r w:rsidR="00174B8F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Pr="00E244C4">
        <w:rPr>
          <w:rFonts w:eastAsia="Times New Roman" w:cs="Times New Roman"/>
          <w:szCs w:val="20"/>
          <w:lang w:val="hr-HR" w:eastAsia="en-GB"/>
        </w:rPr>
        <w:t>zada</w:t>
      </w:r>
      <w:r w:rsidR="0059653F" w:rsidRPr="00E244C4">
        <w:rPr>
          <w:rFonts w:eastAsia="Times New Roman" w:cs="Times New Roman"/>
          <w:szCs w:val="20"/>
          <w:lang w:val="hr-HR" w:eastAsia="en-GB"/>
        </w:rPr>
        <w:t>taka</w:t>
      </w:r>
      <w:r w:rsidRPr="00E244C4">
        <w:rPr>
          <w:rFonts w:eastAsia="Times New Roman" w:cs="Times New Roman"/>
          <w:szCs w:val="20"/>
          <w:lang w:val="hr-HR" w:eastAsia="en-GB"/>
        </w:rPr>
        <w:t>;</w:t>
      </w:r>
    </w:p>
    <w:p w:rsidR="0059653F" w:rsidRPr="00E244C4" w:rsidRDefault="0059653F" w:rsidP="008D25C9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8D25C9">
      <w:pPr>
        <w:pStyle w:val="ListParagraph"/>
        <w:numPr>
          <w:ilvl w:val="0"/>
          <w:numId w:val="19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donosi regulatorne odluke na </w:t>
      </w:r>
      <w:r w:rsidR="00330EC8" w:rsidRPr="00E244C4">
        <w:rPr>
          <w:rFonts w:eastAsia="Times New Roman" w:cs="Times New Roman"/>
          <w:szCs w:val="20"/>
          <w:lang w:val="hr-HR" w:eastAsia="en-GB"/>
        </w:rPr>
        <w:t>osnovu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900C0C" w:rsidRPr="00E244C4">
        <w:rPr>
          <w:rFonts w:eastAsia="Times New Roman" w:cs="Times New Roman"/>
          <w:szCs w:val="20"/>
          <w:lang w:val="hr-HR" w:eastAsia="en-GB"/>
        </w:rPr>
        <w:t>čvrstih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 transparentnih zahtjeva </w:t>
      </w:r>
      <w:r w:rsidR="00174B8F" w:rsidRPr="00E244C4">
        <w:rPr>
          <w:rFonts w:eastAsia="Times New Roman" w:cs="Times New Roman"/>
          <w:szCs w:val="20"/>
          <w:lang w:val="hr-HR" w:eastAsia="en-GB"/>
        </w:rPr>
        <w:t>za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8D25C9" w:rsidRPr="00E244C4">
        <w:rPr>
          <w:rFonts w:eastAsia="Times New Roman" w:cs="Times New Roman"/>
          <w:szCs w:val="20"/>
          <w:lang w:val="hr-HR" w:eastAsia="en-GB"/>
        </w:rPr>
        <w:tab/>
      </w:r>
      <w:r w:rsidRPr="00E244C4">
        <w:rPr>
          <w:rFonts w:eastAsia="Times New Roman" w:cs="Times New Roman"/>
          <w:szCs w:val="20"/>
          <w:lang w:val="hr-HR" w:eastAsia="en-GB"/>
        </w:rPr>
        <w:t>nuklearn</w:t>
      </w:r>
      <w:r w:rsidR="00174B8F" w:rsidRPr="00E244C4">
        <w:rPr>
          <w:rFonts w:eastAsia="Times New Roman" w:cs="Times New Roman"/>
          <w:szCs w:val="20"/>
          <w:lang w:val="hr-HR" w:eastAsia="en-GB"/>
        </w:rPr>
        <w:t>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sigurnost;</w:t>
      </w:r>
    </w:p>
    <w:p w:rsidR="0059653F" w:rsidRPr="00E244C4" w:rsidRDefault="0059653F" w:rsidP="008D25C9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8D25C9" w:rsidP="008D25C9">
      <w:pPr>
        <w:pStyle w:val="ListParagraph"/>
        <w:numPr>
          <w:ilvl w:val="0"/>
          <w:numId w:val="19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>dobi</w:t>
      </w:r>
      <w:r w:rsidR="0059653F" w:rsidRPr="00E244C4">
        <w:rPr>
          <w:rFonts w:eastAsia="Times New Roman" w:cs="Times New Roman"/>
          <w:szCs w:val="20"/>
          <w:lang w:val="hr-HR" w:eastAsia="en-GB"/>
        </w:rPr>
        <w:t>j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a namjenska i odgovarajuća </w:t>
      </w:r>
      <w:r w:rsidR="006F0B44" w:rsidRPr="00E244C4">
        <w:rPr>
          <w:rFonts w:eastAsia="Times New Roman" w:cs="Times New Roman"/>
          <w:szCs w:val="20"/>
          <w:lang w:val="hr-HR" w:eastAsia="en-GB"/>
        </w:rPr>
        <w:t>budžetska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sredstva kako bi se omogućilo </w:t>
      </w:r>
      <w:r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>obavljanje njegovih regulatornih zada</w:t>
      </w:r>
      <w:r w:rsidR="006F0B44" w:rsidRPr="00E244C4">
        <w:rPr>
          <w:rFonts w:eastAsia="Times New Roman" w:cs="Times New Roman"/>
          <w:szCs w:val="20"/>
          <w:lang w:val="hr-HR" w:eastAsia="en-GB"/>
        </w:rPr>
        <w:t>taka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174B8F" w:rsidRPr="00E244C4">
        <w:rPr>
          <w:rFonts w:eastAsia="Times New Roman" w:cs="Times New Roman"/>
          <w:szCs w:val="20"/>
          <w:lang w:val="hr-HR" w:eastAsia="en-GB"/>
        </w:rPr>
        <w:t>na način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utvrđen u </w:t>
      </w:r>
      <w:r w:rsidR="00797EE0" w:rsidRPr="00E244C4">
        <w:rPr>
          <w:rFonts w:eastAsia="Times New Roman" w:cs="Times New Roman"/>
          <w:szCs w:val="20"/>
          <w:lang w:val="hr-HR" w:eastAsia="en-GB"/>
        </w:rPr>
        <w:t>državn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om okviru </w:t>
      </w:r>
      <w:r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te </w:t>
      </w:r>
      <w:r w:rsidR="00174B8F" w:rsidRPr="00E244C4">
        <w:rPr>
          <w:rFonts w:eastAsia="Times New Roman" w:cs="Times New Roman"/>
          <w:szCs w:val="20"/>
          <w:lang w:val="hr-HR" w:eastAsia="en-GB"/>
        </w:rPr>
        <w:t xml:space="preserve">da </w:t>
      </w:r>
      <w:r w:rsidR="00371F52" w:rsidRPr="00E244C4">
        <w:rPr>
          <w:rFonts w:eastAsia="Times New Roman" w:cs="Times New Roman"/>
          <w:szCs w:val="20"/>
          <w:lang w:val="hr-HR" w:eastAsia="en-GB"/>
        </w:rPr>
        <w:t>je odgovor</w:t>
      </w:r>
      <w:r w:rsidR="00174B8F" w:rsidRPr="00E244C4">
        <w:rPr>
          <w:rFonts w:eastAsia="Times New Roman" w:cs="Times New Roman"/>
          <w:szCs w:val="20"/>
          <w:lang w:val="hr-HR" w:eastAsia="en-GB"/>
        </w:rPr>
        <w:t>an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za </w:t>
      </w:r>
      <w:r w:rsidR="00174B8F" w:rsidRPr="00E244C4">
        <w:rPr>
          <w:rFonts w:eastAsia="Times New Roman" w:cs="Times New Roman"/>
          <w:szCs w:val="20"/>
          <w:lang w:val="hr-HR" w:eastAsia="en-GB"/>
        </w:rPr>
        <w:t xml:space="preserve">realizaciju 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dodijeljenih </w:t>
      </w:r>
      <w:r w:rsidR="006F0B44" w:rsidRPr="00E244C4">
        <w:rPr>
          <w:rFonts w:eastAsia="Times New Roman" w:cs="Times New Roman"/>
          <w:szCs w:val="20"/>
          <w:lang w:val="hr-HR" w:eastAsia="en-GB"/>
        </w:rPr>
        <w:t>budžetskih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sredstava;</w:t>
      </w:r>
    </w:p>
    <w:p w:rsidR="0059653F" w:rsidRPr="00E244C4" w:rsidRDefault="0059653F" w:rsidP="008D25C9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8D25C9">
      <w:pPr>
        <w:pStyle w:val="ListParagraph"/>
        <w:numPr>
          <w:ilvl w:val="0"/>
          <w:numId w:val="19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zapošljava odgovarajući broj članova osoblja s kvalifikacijama, iskustvom i </w:t>
      </w:r>
      <w:r w:rsidR="008D25C9" w:rsidRPr="00E244C4">
        <w:rPr>
          <w:rFonts w:eastAsia="Times New Roman" w:cs="Times New Roman"/>
          <w:szCs w:val="20"/>
          <w:lang w:val="hr-HR" w:eastAsia="en-GB"/>
        </w:rPr>
        <w:tab/>
      </w:r>
      <w:r w:rsidRPr="00E244C4">
        <w:rPr>
          <w:rFonts w:eastAsia="Times New Roman" w:cs="Times New Roman"/>
          <w:szCs w:val="20"/>
          <w:lang w:val="hr-HR" w:eastAsia="en-GB"/>
        </w:rPr>
        <w:t>stručnošću potrebnim za ispunjavanje njegovih ob</w:t>
      </w:r>
      <w:r w:rsidR="00FA5556" w:rsidRPr="00E244C4">
        <w:rPr>
          <w:rFonts w:eastAsia="Times New Roman" w:cs="Times New Roman"/>
          <w:szCs w:val="20"/>
          <w:lang w:val="hr-HR" w:eastAsia="en-GB"/>
        </w:rPr>
        <w:t>a</w:t>
      </w:r>
      <w:r w:rsidRPr="00E244C4">
        <w:rPr>
          <w:rFonts w:eastAsia="Times New Roman" w:cs="Times New Roman"/>
          <w:szCs w:val="20"/>
          <w:lang w:val="hr-HR" w:eastAsia="en-GB"/>
        </w:rPr>
        <w:t xml:space="preserve">veza. </w:t>
      </w:r>
      <w:r w:rsidR="00900C0C" w:rsidRPr="00E244C4">
        <w:rPr>
          <w:rFonts w:eastAsia="Times New Roman" w:cs="Times New Roman"/>
          <w:szCs w:val="20"/>
          <w:lang w:val="hr-HR" w:eastAsia="en-GB"/>
        </w:rPr>
        <w:t xml:space="preserve">Nadležni regulatorni </w:t>
      </w:r>
      <w:r w:rsidR="00900C0C" w:rsidRPr="00E244C4">
        <w:rPr>
          <w:rFonts w:eastAsia="Times New Roman" w:cs="Times New Roman"/>
          <w:szCs w:val="20"/>
          <w:lang w:val="hr-HR" w:eastAsia="en-GB"/>
        </w:rPr>
        <w:tab/>
        <w:t xml:space="preserve">organ </w:t>
      </w:r>
      <w:r w:rsidRPr="00E244C4">
        <w:rPr>
          <w:rFonts w:eastAsia="Times New Roman" w:cs="Times New Roman"/>
          <w:szCs w:val="20"/>
          <w:lang w:val="hr-HR" w:eastAsia="en-GB"/>
        </w:rPr>
        <w:t>može</w:t>
      </w:r>
      <w:r w:rsidR="00174B8F" w:rsidRPr="00E244C4">
        <w:rPr>
          <w:rFonts w:eastAsia="Times New Roman" w:cs="Times New Roman"/>
          <w:szCs w:val="20"/>
          <w:lang w:val="hr-HR" w:eastAsia="en-GB"/>
        </w:rPr>
        <w:t xml:space="preserve"> koristiti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vanjsk</w:t>
      </w:r>
      <w:r w:rsidR="00900C0C" w:rsidRPr="00E244C4">
        <w:rPr>
          <w:rFonts w:eastAsia="Times New Roman" w:cs="Times New Roman"/>
          <w:szCs w:val="20"/>
          <w:lang w:val="hr-HR" w:eastAsia="en-GB"/>
        </w:rPr>
        <w:t>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A94598" w:rsidRPr="00E244C4">
        <w:rPr>
          <w:rFonts w:eastAsia="Times New Roman" w:cs="Times New Roman"/>
          <w:szCs w:val="20"/>
          <w:lang w:val="hr-HR" w:eastAsia="en-GB"/>
        </w:rPr>
        <w:t>naučn</w:t>
      </w:r>
      <w:r w:rsidR="008711B9" w:rsidRPr="00E244C4">
        <w:rPr>
          <w:rFonts w:eastAsia="Times New Roman" w:cs="Times New Roman"/>
          <w:szCs w:val="20"/>
          <w:lang w:val="hr-HR" w:eastAsia="en-GB"/>
        </w:rPr>
        <w:t>e</w:t>
      </w:r>
      <w:r w:rsidR="00A94598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Pr="00E244C4">
        <w:rPr>
          <w:rFonts w:eastAsia="Times New Roman" w:cs="Times New Roman"/>
          <w:szCs w:val="20"/>
          <w:lang w:val="hr-HR" w:eastAsia="en-GB"/>
        </w:rPr>
        <w:t>i tehničk</w:t>
      </w:r>
      <w:r w:rsidR="008711B9" w:rsidRPr="00E244C4">
        <w:rPr>
          <w:rFonts w:eastAsia="Times New Roman" w:cs="Times New Roman"/>
          <w:szCs w:val="20"/>
          <w:lang w:val="hr-HR" w:eastAsia="en-GB"/>
        </w:rPr>
        <w:t>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resurs</w:t>
      </w:r>
      <w:r w:rsidR="00900C0C" w:rsidRPr="00E244C4">
        <w:rPr>
          <w:rFonts w:eastAsia="Times New Roman" w:cs="Times New Roman"/>
          <w:szCs w:val="20"/>
          <w:lang w:val="hr-HR" w:eastAsia="en-GB"/>
        </w:rPr>
        <w:t>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 stručno</w:t>
      </w:r>
      <w:r w:rsidR="00900C0C" w:rsidRPr="00E244C4">
        <w:rPr>
          <w:rFonts w:eastAsia="Times New Roman" w:cs="Times New Roman"/>
          <w:szCs w:val="20"/>
          <w:lang w:val="hr-HR" w:eastAsia="en-GB"/>
        </w:rPr>
        <w:t>st</w:t>
      </w:r>
      <w:r w:rsidRPr="00E244C4">
        <w:rPr>
          <w:rFonts w:eastAsia="Times New Roman" w:cs="Times New Roman"/>
          <w:szCs w:val="20"/>
          <w:lang w:val="hr-HR" w:eastAsia="en-GB"/>
        </w:rPr>
        <w:t xml:space="preserve"> kao </w:t>
      </w:r>
      <w:r w:rsidR="00900C0C" w:rsidRPr="00E244C4">
        <w:rPr>
          <w:rFonts w:eastAsia="Times New Roman" w:cs="Times New Roman"/>
          <w:szCs w:val="20"/>
          <w:lang w:val="hr-HR" w:eastAsia="en-GB"/>
        </w:rPr>
        <w:tab/>
      </w:r>
      <w:r w:rsidRPr="00E244C4">
        <w:rPr>
          <w:rFonts w:eastAsia="Times New Roman" w:cs="Times New Roman"/>
          <w:szCs w:val="20"/>
          <w:lang w:val="hr-HR" w:eastAsia="en-GB"/>
        </w:rPr>
        <w:t>podršk</w:t>
      </w:r>
      <w:r w:rsidR="00900C0C" w:rsidRPr="00E244C4">
        <w:rPr>
          <w:rFonts w:eastAsia="Times New Roman" w:cs="Times New Roman"/>
          <w:szCs w:val="20"/>
          <w:lang w:val="hr-HR" w:eastAsia="en-GB"/>
        </w:rPr>
        <w:t>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174B8F" w:rsidRPr="00E244C4">
        <w:rPr>
          <w:rFonts w:eastAsia="Times New Roman" w:cs="Times New Roman"/>
          <w:szCs w:val="20"/>
          <w:lang w:val="hr-HR" w:eastAsia="en-GB"/>
        </w:rPr>
        <w:t>svojim</w:t>
      </w:r>
      <w:r w:rsidR="00900C0C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Pr="00E244C4">
        <w:rPr>
          <w:rFonts w:eastAsia="Times New Roman" w:cs="Times New Roman"/>
          <w:szCs w:val="20"/>
          <w:lang w:val="hr-HR" w:eastAsia="en-GB"/>
        </w:rPr>
        <w:t>regulatornim funkcijama;</w:t>
      </w:r>
    </w:p>
    <w:p w:rsidR="0059653F" w:rsidRPr="00E244C4" w:rsidRDefault="0059653F" w:rsidP="008D25C9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8D25C9">
      <w:pPr>
        <w:pStyle w:val="ListParagraph"/>
        <w:numPr>
          <w:ilvl w:val="0"/>
          <w:numId w:val="19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utvrđuje p</w:t>
      </w:r>
      <w:r w:rsidR="00174B8F" w:rsidRPr="00E244C4">
        <w:rPr>
          <w:rFonts w:eastAsia="Times New Roman" w:cs="Times New Roman"/>
          <w:szCs w:val="20"/>
          <w:lang w:val="hr-HR" w:eastAsia="en-GB"/>
        </w:rPr>
        <w:t>rocedure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za sprečavanje i rješavanje sukoba interesa;</w:t>
      </w:r>
    </w:p>
    <w:p w:rsidR="0059653F" w:rsidRPr="00E244C4" w:rsidRDefault="0059653F" w:rsidP="008D25C9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8D25C9" w:rsidP="008D25C9">
      <w:pPr>
        <w:pStyle w:val="ListParagraph"/>
        <w:numPr>
          <w:ilvl w:val="0"/>
          <w:numId w:val="19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ab/>
      </w:r>
      <w:r w:rsidR="00174B8F" w:rsidRPr="00E244C4">
        <w:rPr>
          <w:rFonts w:eastAsia="Times New Roman" w:cs="Times New Roman"/>
          <w:szCs w:val="20"/>
          <w:lang w:val="hr-HR" w:eastAsia="en-GB"/>
        </w:rPr>
        <w:t>daje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informacije </w:t>
      </w:r>
      <w:r w:rsidR="00174B8F" w:rsidRPr="00E244C4">
        <w:rPr>
          <w:rFonts w:eastAsia="Times New Roman" w:cs="Times New Roman"/>
          <w:szCs w:val="20"/>
          <w:lang w:val="hr-HR" w:eastAsia="en-GB"/>
        </w:rPr>
        <w:t>o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nuklearn</w:t>
      </w:r>
      <w:r w:rsidR="00900C0C" w:rsidRPr="00E244C4">
        <w:rPr>
          <w:rFonts w:eastAsia="Times New Roman" w:cs="Times New Roman"/>
          <w:szCs w:val="20"/>
          <w:lang w:val="hr-HR" w:eastAsia="en-GB"/>
        </w:rPr>
        <w:t>oj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sigurnosti bez odobrenja bilo kog </w:t>
      </w:r>
      <w:r w:rsidR="00900C0C" w:rsidRPr="00E244C4">
        <w:rPr>
          <w:rFonts w:eastAsia="Times New Roman" w:cs="Times New Roman"/>
          <w:szCs w:val="20"/>
          <w:lang w:val="hr-HR" w:eastAsia="en-GB"/>
        </w:rPr>
        <w:t xml:space="preserve">drugog 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tijela ili </w:t>
      </w:r>
      <w:r w:rsidR="00174B8F"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organizacije pod </w:t>
      </w:r>
      <w:r w:rsidR="00383FAF" w:rsidRPr="00E244C4">
        <w:rPr>
          <w:rFonts w:eastAsia="Times New Roman" w:cs="Times New Roman"/>
          <w:szCs w:val="20"/>
          <w:lang w:val="hr-HR" w:eastAsia="en-GB"/>
        </w:rPr>
        <w:t>uslov</w:t>
      </w:r>
      <w:r w:rsidR="00371F52" w:rsidRPr="00E244C4">
        <w:rPr>
          <w:rFonts w:eastAsia="Times New Roman" w:cs="Times New Roman"/>
          <w:szCs w:val="20"/>
          <w:lang w:val="hr-HR" w:eastAsia="en-GB"/>
        </w:rPr>
        <w:t>om da se time ne ugrožavaju drugi nadređeni interesi</w:t>
      </w:r>
      <w:r w:rsidR="00AD36EF" w:rsidRPr="00E244C4">
        <w:rPr>
          <w:rFonts w:eastAsia="Times New Roman" w:cs="Times New Roman"/>
          <w:szCs w:val="20"/>
          <w:lang w:val="hr-HR" w:eastAsia="en-GB"/>
        </w:rPr>
        <w:t>,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kao </w:t>
      </w:r>
      <w:r w:rsidR="00174B8F"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što je </w:t>
      </w:r>
      <w:r w:rsidR="00174B8F" w:rsidRPr="00E244C4">
        <w:rPr>
          <w:rFonts w:eastAsia="Times New Roman" w:cs="Times New Roman"/>
          <w:szCs w:val="20"/>
          <w:lang w:val="hr-HR" w:eastAsia="en-GB"/>
        </w:rPr>
        <w:t>bezbjednost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, priznati u </w:t>
      </w:r>
      <w:r w:rsidR="00900C0C" w:rsidRPr="00E244C4">
        <w:rPr>
          <w:rFonts w:eastAsia="Times New Roman" w:cs="Times New Roman"/>
          <w:szCs w:val="20"/>
          <w:lang w:val="hr-HR" w:eastAsia="en-GB"/>
        </w:rPr>
        <w:t xml:space="preserve">relevantnom 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zakonodavstvu ili </w:t>
      </w:r>
      <w:r w:rsidR="00AD36EF"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>međunarodnim instrumentima.</w:t>
      </w:r>
    </w:p>
    <w:p w:rsidR="0059653F" w:rsidRPr="00E244C4" w:rsidRDefault="0059653F" w:rsidP="0059653F">
      <w:pPr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B13B05">
      <w:pPr>
        <w:pStyle w:val="ListParagraph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Države članice osiguravaju da nadležn</w:t>
      </w:r>
      <w:r w:rsidR="00A94598" w:rsidRPr="00E244C4">
        <w:rPr>
          <w:rFonts w:eastAsia="Times New Roman" w:cs="Times New Roman"/>
          <w:szCs w:val="20"/>
          <w:lang w:val="hr-HR" w:eastAsia="en-GB"/>
        </w:rPr>
        <w:t>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regulatorn</w:t>
      </w:r>
      <w:r w:rsidR="00A94598" w:rsidRPr="00E244C4">
        <w:rPr>
          <w:rFonts w:eastAsia="Times New Roman" w:cs="Times New Roman"/>
          <w:szCs w:val="20"/>
          <w:lang w:val="hr-HR" w:eastAsia="en-GB"/>
        </w:rPr>
        <w:t>i organ</w:t>
      </w:r>
      <w:r w:rsidRPr="00E244C4">
        <w:rPr>
          <w:rFonts w:eastAsia="Times New Roman" w:cs="Times New Roman"/>
          <w:szCs w:val="20"/>
          <w:lang w:val="hr-HR" w:eastAsia="en-GB"/>
        </w:rPr>
        <w:t xml:space="preserve"> dobije </w:t>
      </w:r>
      <w:r w:rsidR="00A94598" w:rsidRPr="00E244C4">
        <w:rPr>
          <w:rFonts w:eastAsia="Times New Roman" w:cs="Times New Roman"/>
          <w:szCs w:val="20"/>
          <w:lang w:val="hr-HR" w:eastAsia="en-GB"/>
        </w:rPr>
        <w:t>zakonska ovlaštenja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potrebn</w:t>
      </w:r>
      <w:r w:rsidR="00A94598" w:rsidRPr="00E244C4">
        <w:rPr>
          <w:rFonts w:eastAsia="Times New Roman" w:cs="Times New Roman"/>
          <w:szCs w:val="20"/>
          <w:lang w:val="hr-HR" w:eastAsia="en-GB"/>
        </w:rPr>
        <w:t>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za ispunjavanje </w:t>
      </w:r>
      <w:r w:rsidR="00AD36EF" w:rsidRPr="00E244C4">
        <w:rPr>
          <w:rFonts w:eastAsia="Times New Roman" w:cs="Times New Roman"/>
          <w:szCs w:val="20"/>
          <w:lang w:val="hr-HR" w:eastAsia="en-GB"/>
        </w:rPr>
        <w:t>njeg</w:t>
      </w:r>
      <w:r w:rsidR="001F7081" w:rsidRPr="00E244C4">
        <w:rPr>
          <w:rFonts w:eastAsia="Times New Roman" w:cs="Times New Roman"/>
          <w:szCs w:val="20"/>
          <w:lang w:val="hr-HR" w:eastAsia="en-GB"/>
        </w:rPr>
        <w:t>o</w:t>
      </w:r>
      <w:r w:rsidR="00AD36EF" w:rsidRPr="00E244C4">
        <w:rPr>
          <w:rFonts w:eastAsia="Times New Roman" w:cs="Times New Roman"/>
          <w:szCs w:val="20"/>
          <w:lang w:val="hr-HR" w:eastAsia="en-GB"/>
        </w:rPr>
        <w:t xml:space="preserve">vih </w:t>
      </w:r>
      <w:r w:rsidRPr="00E244C4">
        <w:rPr>
          <w:rFonts w:eastAsia="Times New Roman" w:cs="Times New Roman"/>
          <w:szCs w:val="20"/>
          <w:lang w:val="hr-HR" w:eastAsia="en-GB"/>
        </w:rPr>
        <w:t>ob</w:t>
      </w:r>
      <w:r w:rsidR="00A94598" w:rsidRPr="00E244C4">
        <w:rPr>
          <w:rFonts w:eastAsia="Times New Roman" w:cs="Times New Roman"/>
          <w:szCs w:val="20"/>
          <w:lang w:val="hr-HR" w:eastAsia="en-GB"/>
        </w:rPr>
        <w:t>a</w:t>
      </w:r>
      <w:r w:rsidRPr="00E244C4">
        <w:rPr>
          <w:rFonts w:eastAsia="Times New Roman" w:cs="Times New Roman"/>
          <w:szCs w:val="20"/>
          <w:lang w:val="hr-HR" w:eastAsia="en-GB"/>
        </w:rPr>
        <w:t xml:space="preserve">veza u vezi s </w:t>
      </w:r>
      <w:r w:rsidR="00A94598" w:rsidRPr="00E244C4">
        <w:rPr>
          <w:rFonts w:eastAsia="Times New Roman" w:cs="Times New Roman"/>
          <w:szCs w:val="20"/>
          <w:lang w:val="hr-HR" w:eastAsia="en-GB"/>
        </w:rPr>
        <w:t>držav</w:t>
      </w:r>
      <w:r w:rsidRPr="00E244C4">
        <w:rPr>
          <w:rFonts w:eastAsia="Times New Roman" w:cs="Times New Roman"/>
          <w:szCs w:val="20"/>
          <w:lang w:val="hr-HR" w:eastAsia="en-GB"/>
        </w:rPr>
        <w:t>nim okvirom opisanim u članu 4 stav 1. U tu svrhu</w:t>
      </w:r>
      <w:r w:rsidR="00AD36EF" w:rsidRPr="00E244C4">
        <w:rPr>
          <w:rFonts w:eastAsia="Times New Roman" w:cs="Times New Roman"/>
          <w:szCs w:val="20"/>
          <w:lang w:val="hr-HR" w:eastAsia="en-GB"/>
        </w:rPr>
        <w:t>,</w:t>
      </w:r>
      <w:r w:rsidRPr="00E244C4">
        <w:rPr>
          <w:rFonts w:eastAsia="Times New Roman" w:cs="Times New Roman"/>
          <w:szCs w:val="20"/>
          <w:lang w:val="hr-HR" w:eastAsia="en-GB"/>
        </w:rPr>
        <w:t xml:space="preserve"> države članice osiguravaju da </w:t>
      </w:r>
      <w:r w:rsidR="00AD36EF" w:rsidRPr="00E244C4">
        <w:rPr>
          <w:rFonts w:eastAsia="Times New Roman" w:cs="Times New Roman"/>
          <w:szCs w:val="20"/>
          <w:lang w:val="hr-HR" w:eastAsia="en-GB"/>
        </w:rPr>
        <w:t xml:space="preserve">se </w:t>
      </w:r>
      <w:r w:rsidR="0059653F" w:rsidRPr="00E244C4">
        <w:rPr>
          <w:rFonts w:eastAsia="Times New Roman" w:cs="Times New Roman"/>
          <w:szCs w:val="20"/>
          <w:lang w:val="hr-HR" w:eastAsia="en-GB"/>
        </w:rPr>
        <w:t>državn</w:t>
      </w:r>
      <w:r w:rsidR="00E34034" w:rsidRPr="00E244C4">
        <w:rPr>
          <w:rFonts w:eastAsia="Times New Roman" w:cs="Times New Roman"/>
          <w:szCs w:val="20"/>
          <w:lang w:val="hr-HR" w:eastAsia="en-GB"/>
        </w:rPr>
        <w:t>i</w:t>
      </w:r>
      <w:r w:rsidR="00AD36EF" w:rsidRPr="00E244C4">
        <w:rPr>
          <w:rFonts w:eastAsia="Times New Roman" w:cs="Times New Roman"/>
          <w:szCs w:val="20"/>
          <w:lang w:val="hr-HR" w:eastAsia="en-GB"/>
        </w:rPr>
        <w:t>m okvirom povjere sljedeći glavni zadaci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nadležn</w:t>
      </w:r>
      <w:r w:rsidR="001F7081" w:rsidRPr="00E244C4">
        <w:rPr>
          <w:rFonts w:eastAsia="Times New Roman" w:cs="Times New Roman"/>
          <w:szCs w:val="20"/>
          <w:lang w:val="hr-HR" w:eastAsia="en-GB"/>
        </w:rPr>
        <w:t>o</w:t>
      </w:r>
      <w:r w:rsidRPr="00E244C4">
        <w:rPr>
          <w:rFonts w:eastAsia="Times New Roman" w:cs="Times New Roman"/>
          <w:szCs w:val="20"/>
          <w:lang w:val="hr-HR" w:eastAsia="en-GB"/>
        </w:rPr>
        <w:t>m regulatorn</w:t>
      </w:r>
      <w:r w:rsidR="001F7081" w:rsidRPr="00E244C4">
        <w:rPr>
          <w:rFonts w:eastAsia="Times New Roman" w:cs="Times New Roman"/>
          <w:szCs w:val="20"/>
          <w:lang w:val="hr-HR" w:eastAsia="en-GB"/>
        </w:rPr>
        <w:t>o</w:t>
      </w:r>
      <w:r w:rsidRPr="00E244C4">
        <w:rPr>
          <w:rFonts w:eastAsia="Times New Roman" w:cs="Times New Roman"/>
          <w:szCs w:val="20"/>
          <w:lang w:val="hr-HR" w:eastAsia="en-GB"/>
        </w:rPr>
        <w:t xml:space="preserve">m </w:t>
      </w:r>
      <w:r w:rsidR="0059653F" w:rsidRPr="00E244C4">
        <w:rPr>
          <w:rFonts w:eastAsia="Times New Roman" w:cs="Times New Roman"/>
          <w:szCs w:val="20"/>
          <w:lang w:val="hr-HR" w:eastAsia="en-GB"/>
        </w:rPr>
        <w:t>organ</w:t>
      </w:r>
      <w:r w:rsidR="001F7081" w:rsidRPr="00E244C4">
        <w:rPr>
          <w:rFonts w:eastAsia="Times New Roman" w:cs="Times New Roman"/>
          <w:szCs w:val="20"/>
          <w:lang w:val="hr-HR" w:eastAsia="en-GB"/>
        </w:rPr>
        <w:t>u</w:t>
      </w:r>
      <w:r w:rsidRPr="00E244C4">
        <w:rPr>
          <w:rFonts w:eastAsia="Times New Roman" w:cs="Times New Roman"/>
          <w:szCs w:val="20"/>
          <w:lang w:val="hr-HR" w:eastAsia="en-GB"/>
        </w:rPr>
        <w:t>:</w:t>
      </w:r>
    </w:p>
    <w:p w:rsidR="00046807" w:rsidRPr="00E244C4" w:rsidRDefault="00046807" w:rsidP="00046807">
      <w:pPr>
        <w:pStyle w:val="ListParagraph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046807" w:rsidRPr="00E244C4" w:rsidRDefault="00046807" w:rsidP="00046807">
      <w:pPr>
        <w:pStyle w:val="ListParagraph"/>
        <w:numPr>
          <w:ilvl w:val="0"/>
          <w:numId w:val="20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predlaganje, definisanje ili učestvovanje u definisanju zahtjeva države za </w:t>
      </w:r>
      <w:r w:rsidRPr="00E244C4">
        <w:rPr>
          <w:rFonts w:eastAsia="Times New Roman" w:cs="Times New Roman"/>
          <w:szCs w:val="20"/>
          <w:lang w:val="hr-HR" w:eastAsia="en-GB"/>
        </w:rPr>
        <w:tab/>
        <w:t>nuklearnu sigurnost;</w:t>
      </w:r>
    </w:p>
    <w:p w:rsidR="0059653F" w:rsidRPr="00E244C4" w:rsidRDefault="0059653F" w:rsidP="0059653F">
      <w:pPr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59653F" w:rsidRPr="00E244C4" w:rsidRDefault="0059653F" w:rsidP="008E7CAC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AD36EF" w:rsidP="008E7CAC">
      <w:pPr>
        <w:pStyle w:val="ListParagraph"/>
        <w:numPr>
          <w:ilvl w:val="0"/>
          <w:numId w:val="20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lastRenderedPageBreak/>
        <w:t>propisivanje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Pr="00E244C4">
        <w:rPr>
          <w:rFonts w:eastAsia="Times New Roman" w:cs="Times New Roman"/>
          <w:szCs w:val="20"/>
          <w:lang w:val="hr-HR" w:eastAsia="en-GB"/>
        </w:rPr>
        <w:t>da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FF6027" w:rsidRPr="00E244C4">
        <w:rPr>
          <w:rFonts w:eastAsia="Times New Roman" w:cs="Times New Roman"/>
          <w:szCs w:val="20"/>
          <w:lang w:val="hr-HR" w:eastAsia="en-GB"/>
        </w:rPr>
        <w:t>vlasnik licence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poštuje i dokaže da poštuje zahtjeve</w:t>
      </w:r>
      <w:r w:rsidR="00046807" w:rsidRPr="00E244C4">
        <w:rPr>
          <w:rFonts w:eastAsia="Times New Roman" w:cs="Times New Roman"/>
          <w:szCs w:val="20"/>
          <w:lang w:val="hr-HR" w:eastAsia="en-GB"/>
        </w:rPr>
        <w:t xml:space="preserve"> države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Pr="00E244C4">
        <w:rPr>
          <w:rFonts w:eastAsia="Times New Roman" w:cs="Times New Roman"/>
          <w:szCs w:val="20"/>
          <w:lang w:val="hr-HR" w:eastAsia="en-GB"/>
        </w:rPr>
        <w:t>za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>nuklearn</w:t>
      </w:r>
      <w:r w:rsidRPr="00E244C4">
        <w:rPr>
          <w:rFonts w:eastAsia="Times New Roman" w:cs="Times New Roman"/>
          <w:szCs w:val="20"/>
          <w:lang w:val="hr-HR" w:eastAsia="en-GB"/>
        </w:rPr>
        <w:t>u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sigurnost i u</w:t>
      </w:r>
      <w:r w:rsidRPr="00E244C4">
        <w:rPr>
          <w:rFonts w:eastAsia="Times New Roman" w:cs="Times New Roman"/>
          <w:szCs w:val="20"/>
          <w:lang w:val="hr-HR" w:eastAsia="en-GB"/>
        </w:rPr>
        <w:t xml:space="preserve">slove relevantne </w:t>
      </w:r>
      <w:r w:rsidR="009A2BC2" w:rsidRPr="00E244C4">
        <w:rPr>
          <w:rFonts w:eastAsia="Times New Roman" w:cs="Times New Roman"/>
          <w:szCs w:val="20"/>
          <w:lang w:val="hr-HR" w:eastAsia="en-GB"/>
        </w:rPr>
        <w:t>licenc</w:t>
      </w:r>
      <w:r w:rsidRPr="00E244C4">
        <w:rPr>
          <w:rFonts w:eastAsia="Times New Roman" w:cs="Times New Roman"/>
          <w:szCs w:val="20"/>
          <w:lang w:val="hr-HR" w:eastAsia="en-GB"/>
        </w:rPr>
        <w:t>e</w:t>
      </w:r>
      <w:r w:rsidR="00371F52" w:rsidRPr="00E244C4">
        <w:rPr>
          <w:rFonts w:eastAsia="Times New Roman" w:cs="Times New Roman"/>
          <w:szCs w:val="20"/>
          <w:lang w:val="hr-HR" w:eastAsia="en-GB"/>
        </w:rPr>
        <w:t>;</w:t>
      </w:r>
    </w:p>
    <w:p w:rsidR="0059653F" w:rsidRPr="00E244C4" w:rsidRDefault="0059653F" w:rsidP="008E7CAC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8E7CAC" w:rsidP="008E7CAC">
      <w:pPr>
        <w:pStyle w:val="ListParagraph"/>
        <w:numPr>
          <w:ilvl w:val="0"/>
          <w:numId w:val="20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>provjera takvog poštovanja zahtjeva putem regulatornih procjena i inspekcija;</w:t>
      </w:r>
    </w:p>
    <w:p w:rsidR="0059653F" w:rsidRPr="00E244C4" w:rsidRDefault="0059653F" w:rsidP="008E7CAC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8E7CAC">
      <w:pPr>
        <w:pStyle w:val="ListParagraph"/>
        <w:numPr>
          <w:ilvl w:val="0"/>
          <w:numId w:val="20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predlaganje ili prov</w:t>
      </w:r>
      <w:r w:rsidR="00F22A7D" w:rsidRPr="00E244C4">
        <w:rPr>
          <w:rFonts w:eastAsia="Times New Roman" w:cs="Times New Roman"/>
          <w:szCs w:val="20"/>
          <w:lang w:val="hr-HR" w:eastAsia="en-GB"/>
        </w:rPr>
        <w:t>ođenje efikasnih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 proporcionalnih </w:t>
      </w:r>
      <w:r w:rsidR="00046807" w:rsidRPr="00E244C4">
        <w:rPr>
          <w:rFonts w:eastAsia="Times New Roman" w:cs="Times New Roman"/>
          <w:szCs w:val="20"/>
          <w:lang w:val="hr-HR" w:eastAsia="en-GB"/>
        </w:rPr>
        <w:t xml:space="preserve">izvršnih </w:t>
      </w:r>
      <w:r w:rsidR="00AD36EF" w:rsidRPr="00E244C4">
        <w:rPr>
          <w:rFonts w:eastAsia="Times New Roman" w:cs="Times New Roman"/>
          <w:szCs w:val="20"/>
          <w:lang w:val="hr-HR" w:eastAsia="en-GB"/>
        </w:rPr>
        <w:t>mjera</w:t>
      </w:r>
      <w:r w:rsidRPr="00E244C4">
        <w:rPr>
          <w:rFonts w:eastAsia="Times New Roman" w:cs="Times New Roman"/>
          <w:szCs w:val="20"/>
          <w:lang w:val="hr-HR" w:eastAsia="en-GB"/>
        </w:rPr>
        <w:t>.</w:t>
      </w:r>
    </w:p>
    <w:p w:rsidR="0059653F" w:rsidRPr="00E244C4" w:rsidRDefault="0059653F" w:rsidP="0059653F">
      <w:pPr>
        <w:pStyle w:val="ListParagraph"/>
        <w:tabs>
          <w:tab w:val="left" w:pos="851"/>
        </w:tabs>
        <w:jc w:val="center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59653F">
      <w:pPr>
        <w:jc w:val="center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Član 6.</w:t>
      </w:r>
    </w:p>
    <w:p w:rsidR="00371F52" w:rsidRPr="00E244C4" w:rsidRDefault="0059653F" w:rsidP="0059653F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E244C4">
        <w:rPr>
          <w:rFonts w:eastAsia="Times New Roman" w:cs="Times New Roman"/>
          <w:b/>
          <w:szCs w:val="20"/>
          <w:lang w:val="hr-HR" w:eastAsia="en-GB"/>
        </w:rPr>
        <w:t>Vlasnici licence</w:t>
      </w:r>
    </w:p>
    <w:p w:rsidR="0059653F" w:rsidRPr="00E244C4" w:rsidRDefault="0059653F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5270DE">
      <w:pPr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Države članice osiguravaju da </w:t>
      </w:r>
      <w:r w:rsidR="00B13B05" w:rsidRPr="00E244C4">
        <w:rPr>
          <w:rFonts w:eastAsia="Times New Roman" w:cs="Times New Roman"/>
          <w:szCs w:val="20"/>
          <w:lang w:val="hr-HR" w:eastAsia="en-GB"/>
        </w:rPr>
        <w:t>državni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okvir </w:t>
      </w:r>
      <w:r w:rsidR="005926AE" w:rsidRPr="00E244C4">
        <w:rPr>
          <w:rFonts w:eastAsia="Times New Roman" w:cs="Times New Roman"/>
          <w:szCs w:val="20"/>
          <w:lang w:val="hr-HR" w:eastAsia="en-GB"/>
        </w:rPr>
        <w:t>propisuje da</w:t>
      </w:r>
      <w:r w:rsidRPr="00E244C4">
        <w:rPr>
          <w:rFonts w:eastAsia="Times New Roman" w:cs="Times New Roman"/>
          <w:szCs w:val="20"/>
          <w:lang w:val="hr-HR" w:eastAsia="en-GB"/>
        </w:rPr>
        <w:t>:</w:t>
      </w:r>
    </w:p>
    <w:p w:rsidR="00E37065" w:rsidRPr="00E244C4" w:rsidRDefault="00E37065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8E7CAC">
      <w:pPr>
        <w:pStyle w:val="ListParagraph"/>
        <w:numPr>
          <w:ilvl w:val="0"/>
          <w:numId w:val="21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primarna odgovornost za nuklearnu sigurnost nuklearnih </w:t>
      </w:r>
      <w:r w:rsidR="00496B1D" w:rsidRPr="00E244C4">
        <w:rPr>
          <w:rFonts w:eastAsia="Times New Roman" w:cs="Times New Roman"/>
          <w:szCs w:val="20"/>
          <w:lang w:val="hr-HR" w:eastAsia="en-GB"/>
        </w:rPr>
        <w:t>objekata bude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na </w:t>
      </w:r>
      <w:r w:rsidR="008E7CAC" w:rsidRPr="00E244C4">
        <w:rPr>
          <w:rFonts w:eastAsia="Times New Roman" w:cs="Times New Roman"/>
          <w:szCs w:val="20"/>
          <w:lang w:val="hr-HR" w:eastAsia="en-GB"/>
        </w:rPr>
        <w:tab/>
      </w:r>
      <w:r w:rsidR="00496B1D" w:rsidRPr="00E244C4">
        <w:rPr>
          <w:rFonts w:eastAsia="Times New Roman" w:cs="Times New Roman"/>
          <w:szCs w:val="20"/>
          <w:lang w:val="hr-HR" w:eastAsia="en-GB"/>
        </w:rPr>
        <w:t>vlasniku licence</w:t>
      </w:r>
      <w:r w:rsidRPr="00E244C4">
        <w:rPr>
          <w:rFonts w:eastAsia="Times New Roman" w:cs="Times New Roman"/>
          <w:szCs w:val="20"/>
          <w:lang w:val="hr-HR" w:eastAsia="en-GB"/>
        </w:rPr>
        <w:t>. Ta odgovornost</w:t>
      </w:r>
      <w:r w:rsidR="00496B1D" w:rsidRPr="00E244C4">
        <w:rPr>
          <w:rFonts w:eastAsia="Times New Roman" w:cs="Times New Roman"/>
          <w:szCs w:val="20"/>
          <w:lang w:val="hr-HR" w:eastAsia="en-GB"/>
        </w:rPr>
        <w:t xml:space="preserve"> se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ne može </w:t>
      </w:r>
      <w:r w:rsidR="00496B1D" w:rsidRPr="00E244C4">
        <w:rPr>
          <w:rFonts w:eastAsia="Times New Roman" w:cs="Times New Roman"/>
          <w:szCs w:val="20"/>
          <w:lang w:val="hr-HR" w:eastAsia="en-GB"/>
        </w:rPr>
        <w:t>prenositi</w:t>
      </w:r>
      <w:r w:rsidRPr="00E244C4">
        <w:rPr>
          <w:rFonts w:eastAsia="Times New Roman" w:cs="Times New Roman"/>
          <w:szCs w:val="20"/>
          <w:lang w:val="hr-HR" w:eastAsia="en-GB"/>
        </w:rPr>
        <w:t xml:space="preserve">, a uključuje </w:t>
      </w:r>
      <w:r w:rsidR="008E7CAC" w:rsidRPr="00E244C4">
        <w:rPr>
          <w:rFonts w:eastAsia="Times New Roman" w:cs="Times New Roman"/>
          <w:szCs w:val="20"/>
          <w:lang w:val="hr-HR" w:eastAsia="en-GB"/>
        </w:rPr>
        <w:tab/>
      </w:r>
      <w:r w:rsidR="000609E3" w:rsidRPr="00E244C4">
        <w:rPr>
          <w:rFonts w:eastAsia="Times New Roman" w:cs="Times New Roman"/>
          <w:szCs w:val="20"/>
          <w:lang w:val="hr-HR" w:eastAsia="en-GB"/>
        </w:rPr>
        <w:t>odgovornost za aktivnosti ugovarača i podugovarača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čij</w:t>
      </w:r>
      <w:r w:rsidR="00B40E7D" w:rsidRPr="00E244C4">
        <w:rPr>
          <w:rFonts w:eastAsia="Times New Roman" w:cs="Times New Roman"/>
          <w:szCs w:val="20"/>
          <w:lang w:val="hr-HR" w:eastAsia="en-GB"/>
        </w:rPr>
        <w:t>i bi poslovi možda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mogl</w:t>
      </w:r>
      <w:r w:rsidR="00B40E7D" w:rsidRPr="00E244C4">
        <w:rPr>
          <w:rFonts w:eastAsia="Times New Roman" w:cs="Times New Roman"/>
          <w:szCs w:val="20"/>
          <w:lang w:val="hr-HR" w:eastAsia="en-GB"/>
        </w:rPr>
        <w:t>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8E7CAC" w:rsidRPr="00E244C4">
        <w:rPr>
          <w:rFonts w:eastAsia="Times New Roman" w:cs="Times New Roman"/>
          <w:szCs w:val="20"/>
          <w:lang w:val="hr-HR" w:eastAsia="en-GB"/>
        </w:rPr>
        <w:tab/>
      </w:r>
      <w:r w:rsidRPr="00E244C4">
        <w:rPr>
          <w:rFonts w:eastAsia="Times New Roman" w:cs="Times New Roman"/>
          <w:szCs w:val="20"/>
          <w:lang w:val="hr-HR" w:eastAsia="en-GB"/>
        </w:rPr>
        <w:t>ut</w:t>
      </w:r>
      <w:r w:rsidR="0037463A" w:rsidRPr="00E244C4">
        <w:rPr>
          <w:rFonts w:eastAsia="Times New Roman" w:cs="Times New Roman"/>
          <w:szCs w:val="20"/>
          <w:lang w:val="hr-HR" w:eastAsia="en-GB"/>
        </w:rPr>
        <w:t>i</w:t>
      </w:r>
      <w:r w:rsidRPr="00E244C4">
        <w:rPr>
          <w:rFonts w:eastAsia="Times New Roman" w:cs="Times New Roman"/>
          <w:szCs w:val="20"/>
          <w:lang w:val="hr-HR" w:eastAsia="en-GB"/>
        </w:rPr>
        <w:t xml:space="preserve">cati na nuklearnu sigurnost nuklearnog </w:t>
      </w:r>
      <w:r w:rsidR="00753B05" w:rsidRPr="00E244C4">
        <w:rPr>
          <w:rFonts w:eastAsia="Times New Roman" w:cs="Times New Roman"/>
          <w:szCs w:val="20"/>
          <w:lang w:val="hr-HR" w:eastAsia="en-GB"/>
        </w:rPr>
        <w:t>objekta</w:t>
      </w:r>
      <w:r w:rsidRPr="00E244C4">
        <w:rPr>
          <w:rFonts w:eastAsia="Times New Roman" w:cs="Times New Roman"/>
          <w:szCs w:val="20"/>
          <w:lang w:val="hr-HR" w:eastAsia="en-GB"/>
        </w:rPr>
        <w:t>;</w:t>
      </w:r>
    </w:p>
    <w:p w:rsidR="00E37065" w:rsidRPr="00E244C4" w:rsidRDefault="00E37065" w:rsidP="008E7CAC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8A29CA" w:rsidP="008E7CAC">
      <w:pPr>
        <w:pStyle w:val="ListParagraph"/>
        <w:numPr>
          <w:ilvl w:val="0"/>
          <w:numId w:val="21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pri podnošenju zahtjeva za licencu, </w:t>
      </w:r>
      <w:r w:rsidR="00371F52" w:rsidRPr="00E244C4">
        <w:rPr>
          <w:rFonts w:eastAsia="Times New Roman" w:cs="Times New Roman"/>
          <w:szCs w:val="20"/>
          <w:lang w:val="hr-HR" w:eastAsia="en-GB"/>
        </w:rPr>
        <w:t>podnosi</w:t>
      </w:r>
      <w:r w:rsidR="00E37065" w:rsidRPr="00E244C4">
        <w:rPr>
          <w:rFonts w:eastAsia="Times New Roman" w:cs="Times New Roman"/>
          <w:szCs w:val="20"/>
          <w:lang w:val="hr-HR" w:eastAsia="en-GB"/>
        </w:rPr>
        <w:t>lac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mora podnijeti dokaz </w:t>
      </w:r>
      <w:r w:rsidRPr="00E244C4">
        <w:rPr>
          <w:rFonts w:eastAsia="Times New Roman" w:cs="Times New Roman"/>
          <w:szCs w:val="20"/>
          <w:lang w:val="hr-HR" w:eastAsia="en-GB"/>
        </w:rPr>
        <w:t xml:space="preserve">o </w:t>
      </w:r>
      <w:r w:rsidRPr="00E244C4">
        <w:rPr>
          <w:rFonts w:eastAsia="Times New Roman" w:cs="Times New Roman"/>
          <w:szCs w:val="20"/>
          <w:lang w:val="hr-HR" w:eastAsia="en-GB"/>
        </w:rPr>
        <w:tab/>
        <w:t>nuklearnoj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sigurnosti. O</w:t>
      </w:r>
      <w:r w:rsidRPr="00E244C4">
        <w:rPr>
          <w:rFonts w:eastAsia="Times New Roman" w:cs="Times New Roman"/>
          <w:szCs w:val="20"/>
          <w:lang w:val="hr-HR" w:eastAsia="en-GB"/>
        </w:rPr>
        <w:t>bim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i </w:t>
      </w:r>
      <w:r w:rsidRPr="00E244C4">
        <w:rPr>
          <w:rFonts w:eastAsia="Times New Roman" w:cs="Times New Roman"/>
          <w:szCs w:val="20"/>
          <w:lang w:val="hr-HR" w:eastAsia="en-GB"/>
        </w:rPr>
        <w:t>nivo detalja dokaza moraju biti u srazmjeri sa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8E7CAC"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>potencijalno</w:t>
      </w:r>
      <w:r w:rsidRPr="00E244C4">
        <w:rPr>
          <w:rFonts w:eastAsia="Times New Roman" w:cs="Times New Roman"/>
          <w:szCs w:val="20"/>
          <w:lang w:val="hr-HR" w:eastAsia="en-GB"/>
        </w:rPr>
        <w:t>m veličinom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i prirod</w:t>
      </w:r>
      <w:r w:rsidRPr="00E244C4">
        <w:rPr>
          <w:rFonts w:eastAsia="Times New Roman" w:cs="Times New Roman"/>
          <w:szCs w:val="20"/>
          <w:lang w:val="hr-HR" w:eastAsia="en-GB"/>
        </w:rPr>
        <w:t>om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opasnosti </w:t>
      </w:r>
      <w:r w:rsidRPr="00E244C4">
        <w:rPr>
          <w:rFonts w:eastAsia="Times New Roman" w:cs="Times New Roman"/>
          <w:szCs w:val="20"/>
          <w:lang w:val="hr-HR" w:eastAsia="en-GB"/>
        </w:rPr>
        <w:t>relevantnim za dat</w:t>
      </w:r>
      <w:r w:rsidR="00292029" w:rsidRPr="00E244C4">
        <w:rPr>
          <w:rFonts w:eastAsia="Times New Roman" w:cs="Times New Roman"/>
          <w:szCs w:val="20"/>
          <w:lang w:val="hr-HR" w:eastAsia="en-GB"/>
        </w:rPr>
        <w:t>i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nuklearn</w:t>
      </w:r>
      <w:r w:rsidR="00292029" w:rsidRPr="00E244C4">
        <w:rPr>
          <w:rFonts w:eastAsia="Times New Roman" w:cs="Times New Roman"/>
          <w:szCs w:val="20"/>
          <w:lang w:val="hr-HR" w:eastAsia="en-GB"/>
        </w:rPr>
        <w:t>i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Pr="00E244C4">
        <w:rPr>
          <w:rFonts w:eastAsia="Times New Roman" w:cs="Times New Roman"/>
          <w:szCs w:val="20"/>
          <w:lang w:val="hr-HR" w:eastAsia="en-GB"/>
        </w:rPr>
        <w:tab/>
      </w:r>
      <w:r w:rsidR="00292029" w:rsidRPr="00E244C4">
        <w:rPr>
          <w:rFonts w:eastAsia="Times New Roman" w:cs="Times New Roman"/>
          <w:szCs w:val="20"/>
          <w:lang w:val="hr-HR" w:eastAsia="en-GB"/>
        </w:rPr>
        <w:t>objekt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i njegovu lokaciju;</w:t>
      </w:r>
    </w:p>
    <w:p w:rsidR="00680A95" w:rsidRPr="00E244C4" w:rsidRDefault="00680A95" w:rsidP="00680A95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680A95" w:rsidP="00680A95">
      <w:pPr>
        <w:pStyle w:val="ListParagraph"/>
        <w:numPr>
          <w:ilvl w:val="0"/>
          <w:numId w:val="21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ab/>
        <w:t xml:space="preserve">vlasnici licence moraju u razumno izvodljivoj mjeri redovno procjenjivati, </w:t>
      </w:r>
      <w:r w:rsidRPr="00E244C4">
        <w:rPr>
          <w:rFonts w:eastAsia="Times New Roman" w:cs="Times New Roman"/>
          <w:szCs w:val="20"/>
          <w:lang w:val="hr-HR" w:eastAsia="en-GB"/>
        </w:rPr>
        <w:tab/>
        <w:t xml:space="preserve">verifikovati </w:t>
      </w:r>
      <w:r w:rsidR="00371F52" w:rsidRPr="00E244C4">
        <w:rPr>
          <w:rFonts w:eastAsia="Times New Roman" w:cs="Times New Roman"/>
          <w:szCs w:val="20"/>
          <w:lang w:val="hr-HR" w:eastAsia="en-GB"/>
        </w:rPr>
        <w:t>i stalno poboljšavati</w:t>
      </w:r>
      <w:r w:rsidR="00383468" w:rsidRPr="00E244C4">
        <w:rPr>
          <w:rFonts w:eastAsia="Times New Roman" w:cs="Times New Roman"/>
          <w:szCs w:val="20"/>
          <w:lang w:val="hr-HR" w:eastAsia="en-GB"/>
        </w:rPr>
        <w:t xml:space="preserve"> nuklearnu sigurnost svojih nuklearnih </w:t>
      </w:r>
      <w:r w:rsidR="0056452F" w:rsidRPr="00E244C4">
        <w:rPr>
          <w:rFonts w:eastAsia="Times New Roman" w:cs="Times New Roman"/>
          <w:szCs w:val="20"/>
          <w:lang w:val="hr-HR" w:eastAsia="en-GB"/>
        </w:rPr>
        <w:t>objek</w:t>
      </w:r>
      <w:r w:rsidR="009254F6" w:rsidRPr="00E244C4">
        <w:rPr>
          <w:rFonts w:eastAsia="Times New Roman" w:cs="Times New Roman"/>
          <w:szCs w:val="20"/>
          <w:lang w:val="hr-HR" w:eastAsia="en-GB"/>
        </w:rPr>
        <w:t>a</w:t>
      </w:r>
      <w:r w:rsidR="0056452F" w:rsidRPr="00E244C4">
        <w:rPr>
          <w:rFonts w:eastAsia="Times New Roman" w:cs="Times New Roman"/>
          <w:szCs w:val="20"/>
          <w:lang w:val="hr-HR" w:eastAsia="en-GB"/>
        </w:rPr>
        <w:t>ta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>na s</w:t>
      </w:r>
      <w:r w:rsidR="0056452F" w:rsidRPr="00E244C4">
        <w:rPr>
          <w:rFonts w:eastAsia="Times New Roman" w:cs="Times New Roman"/>
          <w:szCs w:val="20"/>
          <w:lang w:val="hr-HR" w:eastAsia="en-GB"/>
        </w:rPr>
        <w:t>istematski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i provjerljiv </w:t>
      </w:r>
      <w:r w:rsidR="008A29CA"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način. </w:t>
      </w:r>
      <w:r w:rsidR="008A29CA" w:rsidRPr="00E244C4">
        <w:rPr>
          <w:rFonts w:eastAsia="Times New Roman" w:cs="Times New Roman"/>
          <w:szCs w:val="20"/>
          <w:lang w:val="hr-HR" w:eastAsia="en-GB"/>
        </w:rPr>
        <w:t>Ovo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uključuje </w:t>
      </w:r>
      <w:r w:rsidRPr="00E244C4">
        <w:rPr>
          <w:rFonts w:eastAsia="Times New Roman" w:cs="Times New Roman"/>
          <w:szCs w:val="20"/>
          <w:lang w:val="hr-HR" w:eastAsia="en-GB"/>
        </w:rPr>
        <w:t>verifikaciju postojanja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mjera za </w:t>
      </w:r>
      <w:r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sprečavanje </w:t>
      </w:r>
      <w:r w:rsidR="00F675FD" w:rsidRPr="00E244C4">
        <w:rPr>
          <w:rFonts w:eastAsia="Times New Roman" w:cs="Times New Roman"/>
          <w:szCs w:val="20"/>
          <w:lang w:val="hr-HR" w:eastAsia="en-GB"/>
        </w:rPr>
        <w:t>akcidenata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8A29CA" w:rsidRPr="00E244C4">
        <w:rPr>
          <w:rFonts w:eastAsia="Times New Roman" w:cs="Times New Roman"/>
          <w:szCs w:val="20"/>
          <w:lang w:val="hr-HR" w:eastAsia="en-GB"/>
        </w:rPr>
        <w:t xml:space="preserve">i 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ublažavanje posljedica </w:t>
      </w:r>
      <w:r w:rsidR="00F675FD" w:rsidRPr="00E244C4">
        <w:rPr>
          <w:rFonts w:eastAsia="Times New Roman" w:cs="Times New Roman"/>
          <w:szCs w:val="20"/>
          <w:lang w:val="hr-HR" w:eastAsia="en-GB"/>
        </w:rPr>
        <w:t>akcidenata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, uključujući </w:t>
      </w:r>
      <w:r w:rsidRPr="00E244C4">
        <w:rPr>
          <w:rFonts w:eastAsia="Times New Roman" w:cs="Times New Roman"/>
          <w:szCs w:val="20"/>
          <w:lang w:val="hr-HR" w:eastAsia="en-GB"/>
        </w:rPr>
        <w:tab/>
        <w:t xml:space="preserve">verifikaciju 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primjene </w:t>
      </w:r>
      <w:r w:rsidR="008A29CA" w:rsidRPr="00E244C4">
        <w:rPr>
          <w:rFonts w:eastAsia="Times New Roman" w:cs="Times New Roman"/>
          <w:szCs w:val="20"/>
          <w:lang w:val="hr-HR" w:eastAsia="en-GB"/>
        </w:rPr>
        <w:t>mjera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3A3BFF" w:rsidRPr="00E244C4">
        <w:rPr>
          <w:rFonts w:eastAsia="Times New Roman" w:cs="Times New Roman"/>
          <w:szCs w:val="20"/>
          <w:lang w:val="hr-HR" w:eastAsia="en-GB"/>
        </w:rPr>
        <w:t>odbrane po dubini</w:t>
      </w:r>
      <w:r w:rsidR="0056452F" w:rsidRPr="00E244C4">
        <w:rPr>
          <w:rFonts w:eastAsia="Times New Roman" w:cs="Times New Roman"/>
          <w:szCs w:val="20"/>
          <w:lang w:val="hr-HR" w:eastAsia="en-GB"/>
        </w:rPr>
        <w:t>;</w:t>
      </w:r>
    </w:p>
    <w:p w:rsidR="00E37065" w:rsidRPr="00E244C4" w:rsidRDefault="00E37065" w:rsidP="008E7CAC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E37065" w:rsidP="008E7CAC">
      <w:pPr>
        <w:pStyle w:val="ListParagraph"/>
        <w:numPr>
          <w:ilvl w:val="0"/>
          <w:numId w:val="21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vlasnici licence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u</w:t>
      </w:r>
      <w:r w:rsidR="008A29CA" w:rsidRPr="00E244C4">
        <w:rPr>
          <w:rFonts w:eastAsia="Times New Roman" w:cs="Times New Roman"/>
          <w:szCs w:val="20"/>
          <w:lang w:val="hr-HR" w:eastAsia="en-GB"/>
        </w:rPr>
        <w:t>spostavljaju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i primjenjuju s</w:t>
      </w:r>
      <w:r w:rsidR="003A3BFF" w:rsidRPr="00E244C4">
        <w:rPr>
          <w:rFonts w:eastAsia="Times New Roman" w:cs="Times New Roman"/>
          <w:szCs w:val="20"/>
          <w:lang w:val="hr-HR" w:eastAsia="en-GB"/>
        </w:rPr>
        <w:t>isteme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upravljanja koji daju </w:t>
      </w:r>
      <w:r w:rsidR="008A29CA" w:rsidRPr="00E244C4">
        <w:rPr>
          <w:rFonts w:eastAsia="Times New Roman" w:cs="Times New Roman"/>
          <w:szCs w:val="20"/>
          <w:lang w:val="hr-HR" w:eastAsia="en-GB"/>
        </w:rPr>
        <w:tab/>
        <w:t>poseban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prioritet nuklearnoj sigurnosti;</w:t>
      </w:r>
    </w:p>
    <w:p w:rsidR="00E37065" w:rsidRPr="00E244C4" w:rsidRDefault="00E37065" w:rsidP="008E7CAC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E37065" w:rsidP="008E7CAC">
      <w:pPr>
        <w:pStyle w:val="ListParagraph"/>
        <w:numPr>
          <w:ilvl w:val="0"/>
          <w:numId w:val="21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vlasnici licence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predviđaju odgovarajuće postupke i mehanizme u slučaju </w:t>
      </w:r>
      <w:r w:rsidR="008E7CAC"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>vanrednog događaja na lokaciji</w:t>
      </w:r>
      <w:r w:rsidR="00292029" w:rsidRPr="00E244C4">
        <w:rPr>
          <w:rFonts w:eastAsia="Times New Roman" w:cs="Times New Roman"/>
          <w:szCs w:val="20"/>
          <w:lang w:val="hr-HR" w:eastAsia="en-GB"/>
        </w:rPr>
        <w:t xml:space="preserve"> objekta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, uključujući smjernice za upravljanje </w:t>
      </w:r>
      <w:r w:rsidR="00292029"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teškim </w:t>
      </w:r>
      <w:r w:rsidR="00D319EA" w:rsidRPr="00E244C4">
        <w:rPr>
          <w:rFonts w:eastAsia="Times New Roman" w:cs="Times New Roman"/>
          <w:szCs w:val="20"/>
          <w:lang w:val="hr-HR" w:eastAsia="en-GB"/>
        </w:rPr>
        <w:t>akcidentima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ili </w:t>
      </w:r>
      <w:r w:rsidR="00D319EA" w:rsidRPr="00E244C4">
        <w:rPr>
          <w:rFonts w:eastAsia="Times New Roman" w:cs="Times New Roman"/>
          <w:szCs w:val="20"/>
          <w:lang w:val="hr-HR" w:eastAsia="en-GB"/>
        </w:rPr>
        <w:t>ekvivalentne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mehanizme</w:t>
      </w:r>
      <w:r w:rsidR="0056452F" w:rsidRPr="00E244C4">
        <w:rPr>
          <w:rFonts w:eastAsia="Times New Roman" w:cs="Times New Roman"/>
          <w:szCs w:val="20"/>
          <w:lang w:val="hr-HR" w:eastAsia="en-GB"/>
        </w:rPr>
        <w:t xml:space="preserve"> u cilju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56452F" w:rsidRPr="00E244C4">
        <w:rPr>
          <w:rFonts w:eastAsia="Times New Roman" w:cs="Times New Roman"/>
          <w:szCs w:val="20"/>
          <w:lang w:val="hr-HR" w:eastAsia="en-GB"/>
        </w:rPr>
        <w:t>efikasnog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odgov</w:t>
      </w:r>
      <w:r w:rsidR="0056452F" w:rsidRPr="00E244C4">
        <w:rPr>
          <w:rFonts w:eastAsia="Times New Roman" w:cs="Times New Roman"/>
          <w:szCs w:val="20"/>
          <w:lang w:val="hr-HR" w:eastAsia="en-GB"/>
        </w:rPr>
        <w:t>o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ra na </w:t>
      </w:r>
      <w:r w:rsidR="008E7CAC" w:rsidRPr="00E244C4">
        <w:rPr>
          <w:rFonts w:eastAsia="Times New Roman" w:cs="Times New Roman"/>
          <w:szCs w:val="20"/>
          <w:lang w:val="hr-HR" w:eastAsia="en-GB"/>
        </w:rPr>
        <w:tab/>
      </w:r>
      <w:r w:rsidR="00D319EA" w:rsidRPr="00E244C4">
        <w:rPr>
          <w:rFonts w:eastAsia="Times New Roman" w:cs="Times New Roman"/>
          <w:szCs w:val="20"/>
          <w:lang w:val="hr-HR" w:eastAsia="en-GB"/>
        </w:rPr>
        <w:t>akcidente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8A29CA" w:rsidRPr="00E244C4">
        <w:rPr>
          <w:rFonts w:eastAsia="Times New Roman" w:cs="Times New Roman"/>
          <w:szCs w:val="20"/>
          <w:lang w:val="hr-HR" w:eastAsia="en-GB"/>
        </w:rPr>
        <w:t>da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bi se spriječile ili ublažile njihove posljedice. </w:t>
      </w:r>
      <w:r w:rsidR="00346746" w:rsidRPr="00E244C4">
        <w:rPr>
          <w:rFonts w:eastAsia="Times New Roman" w:cs="Times New Roman"/>
          <w:szCs w:val="20"/>
          <w:lang w:val="hr-HR" w:eastAsia="en-GB"/>
        </w:rPr>
        <w:t xml:space="preserve">Ti postupci i </w:t>
      </w:r>
      <w:r w:rsidR="00346746" w:rsidRPr="00E244C4">
        <w:rPr>
          <w:rFonts w:eastAsia="Times New Roman" w:cs="Times New Roman"/>
          <w:szCs w:val="20"/>
          <w:lang w:val="hr-HR" w:eastAsia="en-GB"/>
        </w:rPr>
        <w:tab/>
        <w:t>mehanizmi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posebno moraju:</w:t>
      </w:r>
    </w:p>
    <w:p w:rsidR="00E37065" w:rsidRPr="00E244C4" w:rsidRDefault="00E37065" w:rsidP="00E37065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E37065" w:rsidP="003E52DA">
      <w:pPr>
        <w:pStyle w:val="ListParagraph"/>
        <w:numPr>
          <w:ilvl w:val="0"/>
          <w:numId w:val="13"/>
        </w:numPr>
        <w:tabs>
          <w:tab w:val="left" w:pos="993"/>
        </w:tabs>
        <w:ind w:left="851" w:hanging="11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>biti u skladu s ostalim operativnim postupcima i p</w:t>
      </w:r>
      <w:r w:rsidR="00441F8A" w:rsidRPr="00E244C4">
        <w:rPr>
          <w:rFonts w:eastAsia="Times New Roman" w:cs="Times New Roman"/>
          <w:szCs w:val="20"/>
          <w:lang w:val="hr-HR" w:eastAsia="en-GB"/>
        </w:rPr>
        <w:t>eriodično uv</w:t>
      </w:r>
      <w:r w:rsidR="00346746" w:rsidRPr="00E244C4">
        <w:rPr>
          <w:rFonts w:eastAsia="Times New Roman" w:cs="Times New Roman"/>
          <w:szCs w:val="20"/>
          <w:lang w:val="hr-HR" w:eastAsia="en-GB"/>
        </w:rPr>
        <w:t>j</w:t>
      </w:r>
      <w:r w:rsidR="00441F8A" w:rsidRPr="00E244C4">
        <w:rPr>
          <w:rFonts w:eastAsia="Times New Roman" w:cs="Times New Roman"/>
          <w:szCs w:val="20"/>
          <w:lang w:val="hr-HR" w:eastAsia="en-GB"/>
        </w:rPr>
        <w:t xml:space="preserve">ežbavani da 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bi </w:t>
      </w:r>
      <w:r w:rsidR="00346746"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se </w:t>
      </w:r>
      <w:r w:rsidR="00346746" w:rsidRPr="00E244C4">
        <w:rPr>
          <w:rFonts w:eastAsia="Times New Roman" w:cs="Times New Roman"/>
          <w:szCs w:val="20"/>
          <w:lang w:val="hr-HR" w:eastAsia="en-GB"/>
        </w:rPr>
        <w:t>verifikovala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njihova </w:t>
      </w:r>
      <w:r w:rsidR="00441F8A" w:rsidRPr="00E244C4">
        <w:rPr>
          <w:rFonts w:eastAsia="Times New Roman" w:cs="Times New Roman"/>
          <w:szCs w:val="20"/>
          <w:lang w:val="hr-HR" w:eastAsia="en-GB"/>
        </w:rPr>
        <w:t>izvodljivost</w:t>
      </w:r>
      <w:r w:rsidR="00371F52" w:rsidRPr="00E244C4">
        <w:rPr>
          <w:rFonts w:eastAsia="Times New Roman" w:cs="Times New Roman"/>
          <w:szCs w:val="20"/>
          <w:lang w:val="hr-HR" w:eastAsia="en-GB"/>
        </w:rPr>
        <w:t>;</w:t>
      </w:r>
    </w:p>
    <w:p w:rsidR="008E7CAC" w:rsidRPr="00E244C4" w:rsidRDefault="008E7CAC" w:rsidP="008E7CAC">
      <w:pPr>
        <w:pStyle w:val="ListParagraph"/>
        <w:tabs>
          <w:tab w:val="left" w:pos="851"/>
          <w:tab w:val="left" w:pos="993"/>
        </w:tabs>
        <w:ind w:left="851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8E7CAC" w:rsidP="008E7CAC">
      <w:pPr>
        <w:pStyle w:val="ListParagraph"/>
        <w:numPr>
          <w:ilvl w:val="0"/>
          <w:numId w:val="13"/>
        </w:numPr>
        <w:tabs>
          <w:tab w:val="left" w:pos="851"/>
          <w:tab w:val="left" w:pos="993"/>
        </w:tabs>
        <w:ind w:left="851" w:hanging="11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>obuhva</w:t>
      </w:r>
      <w:r w:rsidR="00150F9F" w:rsidRPr="00E244C4">
        <w:rPr>
          <w:rFonts w:eastAsia="Times New Roman" w:cs="Times New Roman"/>
          <w:szCs w:val="20"/>
          <w:lang w:val="hr-HR" w:eastAsia="en-GB"/>
        </w:rPr>
        <w:t>t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ati </w:t>
      </w:r>
      <w:r w:rsidR="00441F8A" w:rsidRPr="00E244C4">
        <w:rPr>
          <w:rFonts w:eastAsia="Times New Roman" w:cs="Times New Roman"/>
          <w:szCs w:val="20"/>
          <w:lang w:val="hr-HR" w:eastAsia="en-GB"/>
        </w:rPr>
        <w:t>akcidente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i teške </w:t>
      </w:r>
      <w:r w:rsidR="00441F8A" w:rsidRPr="00E244C4">
        <w:rPr>
          <w:rFonts w:eastAsia="Times New Roman" w:cs="Times New Roman"/>
          <w:szCs w:val="20"/>
          <w:lang w:val="hr-HR" w:eastAsia="en-GB"/>
        </w:rPr>
        <w:t>akcidente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do kojih bi moglo doći pri svim načinima </w:t>
      </w:r>
      <w:r w:rsidR="00E37065"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>rada i one koje isto</w:t>
      </w:r>
      <w:r w:rsidR="00441F8A" w:rsidRPr="00E244C4">
        <w:rPr>
          <w:rFonts w:eastAsia="Times New Roman" w:cs="Times New Roman"/>
          <w:szCs w:val="20"/>
          <w:lang w:val="hr-HR" w:eastAsia="en-GB"/>
        </w:rPr>
        <w:t xml:space="preserve">vremeno </w:t>
      </w:r>
      <w:r w:rsidR="00EB31F4" w:rsidRPr="00E244C4">
        <w:rPr>
          <w:rFonts w:eastAsia="Times New Roman" w:cs="Times New Roman"/>
          <w:szCs w:val="20"/>
          <w:lang w:val="hr-HR" w:eastAsia="en-GB"/>
        </w:rPr>
        <w:t xml:space="preserve">uključuju ili </w:t>
      </w:r>
      <w:r w:rsidR="00441F8A" w:rsidRPr="00E244C4">
        <w:rPr>
          <w:rFonts w:eastAsia="Times New Roman" w:cs="Times New Roman"/>
          <w:szCs w:val="20"/>
          <w:lang w:val="hr-HR" w:eastAsia="en-GB"/>
        </w:rPr>
        <w:t>zahvataju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više </w:t>
      </w:r>
      <w:r w:rsidR="002559FC" w:rsidRPr="00E244C4">
        <w:rPr>
          <w:rFonts w:eastAsia="Times New Roman" w:cs="Times New Roman"/>
          <w:szCs w:val="20"/>
          <w:lang w:val="hr-HR" w:eastAsia="en-GB"/>
        </w:rPr>
        <w:t>blokova</w:t>
      </w:r>
      <w:r w:rsidR="00371F52" w:rsidRPr="00E244C4">
        <w:rPr>
          <w:rFonts w:eastAsia="Times New Roman" w:cs="Times New Roman"/>
          <w:szCs w:val="20"/>
          <w:lang w:val="hr-HR" w:eastAsia="en-GB"/>
        </w:rPr>
        <w:t>;</w:t>
      </w:r>
    </w:p>
    <w:p w:rsidR="008E7CAC" w:rsidRPr="00E244C4" w:rsidRDefault="008E7CAC" w:rsidP="008E7CAC">
      <w:pPr>
        <w:pStyle w:val="ListParagraph"/>
        <w:tabs>
          <w:tab w:val="left" w:pos="851"/>
          <w:tab w:val="left" w:pos="993"/>
        </w:tabs>
        <w:ind w:left="851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150F9F" w:rsidP="00150F9F">
      <w:pPr>
        <w:pStyle w:val="ListParagraph"/>
        <w:numPr>
          <w:ilvl w:val="0"/>
          <w:numId w:val="13"/>
        </w:numPr>
        <w:tabs>
          <w:tab w:val="left" w:pos="851"/>
          <w:tab w:val="left" w:pos="1134"/>
        </w:tabs>
        <w:ind w:left="851" w:hanging="11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  </w:t>
      </w:r>
      <w:r w:rsidR="00371F52" w:rsidRPr="00E244C4">
        <w:rPr>
          <w:rFonts w:eastAsia="Times New Roman" w:cs="Times New Roman"/>
          <w:szCs w:val="20"/>
          <w:lang w:val="hr-HR" w:eastAsia="en-GB"/>
        </w:rPr>
        <w:t>omogućiti mehanizme primanja vanjske pomoći;</w:t>
      </w:r>
    </w:p>
    <w:p w:rsidR="008E7CAC" w:rsidRPr="00E244C4" w:rsidRDefault="008E7CAC" w:rsidP="008E7CAC">
      <w:pPr>
        <w:pStyle w:val="ListParagraph"/>
        <w:tabs>
          <w:tab w:val="left" w:pos="851"/>
          <w:tab w:val="left" w:pos="993"/>
        </w:tabs>
        <w:ind w:left="851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150F9F" w:rsidP="008E7CAC">
      <w:pPr>
        <w:pStyle w:val="ListParagraph"/>
        <w:numPr>
          <w:ilvl w:val="0"/>
          <w:numId w:val="13"/>
        </w:numPr>
        <w:tabs>
          <w:tab w:val="left" w:pos="851"/>
          <w:tab w:val="left" w:pos="993"/>
        </w:tabs>
        <w:ind w:left="851" w:hanging="11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  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biti periodično preispitivani i redovito ažurirani, uzimajući u obzir iskustva iz </w:t>
      </w:r>
      <w:r w:rsidR="00E37065"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vježbi i </w:t>
      </w:r>
      <w:r w:rsidR="00CB5FD4" w:rsidRPr="00E244C4">
        <w:rPr>
          <w:rFonts w:eastAsia="Times New Roman" w:cs="Times New Roman"/>
          <w:szCs w:val="20"/>
          <w:lang w:val="hr-HR" w:eastAsia="en-GB"/>
        </w:rPr>
        <w:t>iskustva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stečen</w:t>
      </w:r>
      <w:r w:rsidR="00EB31F4" w:rsidRPr="00E244C4">
        <w:rPr>
          <w:rFonts w:eastAsia="Times New Roman" w:cs="Times New Roman"/>
          <w:szCs w:val="20"/>
          <w:lang w:val="hr-HR" w:eastAsia="en-GB"/>
        </w:rPr>
        <w:t>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iz </w:t>
      </w:r>
      <w:r w:rsidR="0039683D" w:rsidRPr="00E244C4">
        <w:rPr>
          <w:rFonts w:eastAsia="Times New Roman" w:cs="Times New Roman"/>
          <w:szCs w:val="20"/>
          <w:lang w:val="hr-HR" w:eastAsia="en-GB"/>
        </w:rPr>
        <w:t>akcidenata</w:t>
      </w:r>
      <w:r w:rsidR="00371F52" w:rsidRPr="00E244C4">
        <w:rPr>
          <w:rFonts w:eastAsia="Times New Roman" w:cs="Times New Roman"/>
          <w:szCs w:val="20"/>
          <w:lang w:val="hr-HR" w:eastAsia="en-GB"/>
        </w:rPr>
        <w:t>;</w:t>
      </w:r>
    </w:p>
    <w:p w:rsidR="00E37065" w:rsidRPr="00E244C4" w:rsidRDefault="00E37065" w:rsidP="00E37065">
      <w:pPr>
        <w:rPr>
          <w:rFonts w:eastAsia="Times New Roman" w:cs="Times New Roman"/>
          <w:szCs w:val="20"/>
          <w:lang w:val="hr-HR" w:eastAsia="en-GB"/>
        </w:rPr>
      </w:pPr>
    </w:p>
    <w:p w:rsidR="009E67D3" w:rsidRPr="00E244C4" w:rsidRDefault="009E67D3" w:rsidP="009E67D3">
      <w:pPr>
        <w:pStyle w:val="ListParagraph"/>
        <w:numPr>
          <w:ilvl w:val="0"/>
          <w:numId w:val="21"/>
        </w:num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V</w:t>
      </w:r>
      <w:r w:rsidR="00E37065" w:rsidRPr="00E244C4">
        <w:rPr>
          <w:rFonts w:eastAsia="Times New Roman" w:cs="Times New Roman"/>
          <w:szCs w:val="20"/>
          <w:lang w:val="hr-HR" w:eastAsia="en-GB"/>
        </w:rPr>
        <w:t>la</w:t>
      </w:r>
      <w:r w:rsidRPr="00E244C4">
        <w:rPr>
          <w:rFonts w:eastAsia="Times New Roman" w:cs="Times New Roman"/>
          <w:szCs w:val="20"/>
          <w:lang w:val="hr-HR" w:eastAsia="en-GB"/>
        </w:rPr>
        <w:t>snici licence predviđaju i održavaju finansijske i ljudske resurse s odgovarajućim kvalifikacijama i kompetencijama potrebnim za ispunjavanje svojih obaveza u pogledu nuklearne sigurnosti nuklearnih objekata. Vlasnici licence se takođe brinu da kad su pod njihovom odgovornošću ugovarači i podugovarači čiji bi poslovi možda mogli uticati na nuklearnu sigurnost nuklearnih objekata imaju potrebne ljudske resurse s odgov</w:t>
      </w:r>
      <w:r w:rsidR="00E244C4">
        <w:rPr>
          <w:rFonts w:eastAsia="Times New Roman" w:cs="Times New Roman"/>
          <w:szCs w:val="20"/>
          <w:lang w:val="hr-HR" w:eastAsia="en-GB"/>
        </w:rPr>
        <w:t>a</w:t>
      </w:r>
      <w:r w:rsidRPr="00E244C4">
        <w:rPr>
          <w:rFonts w:eastAsia="Times New Roman" w:cs="Times New Roman"/>
          <w:szCs w:val="20"/>
          <w:lang w:val="hr-HR" w:eastAsia="en-GB"/>
        </w:rPr>
        <w:t>rajućim kvalifikacijama i kompetencijama za ispunjavanje njihovih obaveza.</w:t>
      </w:r>
    </w:p>
    <w:p w:rsidR="009E67D3" w:rsidRPr="00E244C4" w:rsidRDefault="009E67D3" w:rsidP="009E67D3">
      <w:pPr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811574" w:rsidRPr="00E244C4" w:rsidRDefault="00811574" w:rsidP="00E37065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E37065">
      <w:pPr>
        <w:jc w:val="center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lastRenderedPageBreak/>
        <w:t>Član 7.</w:t>
      </w:r>
    </w:p>
    <w:p w:rsidR="007B739A" w:rsidRPr="00E244C4" w:rsidRDefault="00371F52" w:rsidP="00E37065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E244C4">
        <w:rPr>
          <w:rFonts w:eastAsia="Times New Roman" w:cs="Times New Roman"/>
          <w:b/>
          <w:szCs w:val="20"/>
          <w:lang w:val="hr-HR" w:eastAsia="en-GB"/>
        </w:rPr>
        <w:t>Stručno</w:t>
      </w:r>
      <w:r w:rsidR="001652FA" w:rsidRPr="00E244C4">
        <w:rPr>
          <w:rFonts w:eastAsia="Times New Roman" w:cs="Times New Roman"/>
          <w:b/>
          <w:szCs w:val="20"/>
          <w:lang w:val="hr-HR" w:eastAsia="en-GB"/>
        </w:rPr>
        <w:t>st</w:t>
      </w:r>
      <w:r w:rsidRPr="00E244C4">
        <w:rPr>
          <w:rFonts w:eastAsia="Times New Roman" w:cs="Times New Roman"/>
          <w:b/>
          <w:szCs w:val="20"/>
          <w:lang w:val="hr-HR" w:eastAsia="en-GB"/>
        </w:rPr>
        <w:t xml:space="preserve"> i vještine </w:t>
      </w:r>
    </w:p>
    <w:p w:rsidR="00371F52" w:rsidRPr="00E244C4" w:rsidRDefault="00371F52" w:rsidP="00E37065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E244C4">
        <w:rPr>
          <w:rFonts w:eastAsia="Times New Roman" w:cs="Times New Roman"/>
          <w:b/>
          <w:szCs w:val="20"/>
          <w:lang w:val="hr-HR" w:eastAsia="en-GB"/>
        </w:rPr>
        <w:t xml:space="preserve">u </w:t>
      </w:r>
      <w:r w:rsidR="007B739A" w:rsidRPr="00E244C4">
        <w:rPr>
          <w:rFonts w:eastAsia="Times New Roman" w:cs="Times New Roman"/>
          <w:b/>
          <w:szCs w:val="20"/>
          <w:lang w:val="hr-HR" w:eastAsia="en-GB"/>
        </w:rPr>
        <w:t>oblasti</w:t>
      </w:r>
      <w:r w:rsidRPr="00E244C4">
        <w:rPr>
          <w:rFonts w:eastAsia="Times New Roman" w:cs="Times New Roman"/>
          <w:b/>
          <w:szCs w:val="20"/>
          <w:lang w:val="hr-HR" w:eastAsia="en-GB"/>
        </w:rPr>
        <w:t xml:space="preserve"> nuklearne sigurnosti</w:t>
      </w:r>
    </w:p>
    <w:p w:rsidR="00E37065" w:rsidRPr="00E244C4" w:rsidRDefault="00E37065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B13B05">
      <w:pPr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Države članice osiguravaju da se </w:t>
      </w:r>
      <w:r w:rsidR="00B13B05" w:rsidRPr="00E244C4">
        <w:rPr>
          <w:rFonts w:eastAsia="Times New Roman" w:cs="Times New Roman"/>
          <w:szCs w:val="20"/>
          <w:lang w:val="hr-HR" w:eastAsia="en-GB"/>
        </w:rPr>
        <w:t>državnim</w:t>
      </w:r>
      <w:r w:rsidRPr="00E244C4">
        <w:rPr>
          <w:rFonts w:eastAsia="Times New Roman" w:cs="Times New Roman"/>
          <w:szCs w:val="20"/>
          <w:lang w:val="hr-HR" w:eastAsia="en-GB"/>
        </w:rPr>
        <w:t xml:space="preserve"> okvirom od svih strana zahtijeva da </w:t>
      </w:r>
      <w:r w:rsidR="00B740EA" w:rsidRPr="00E244C4">
        <w:rPr>
          <w:rFonts w:eastAsia="Times New Roman" w:cs="Times New Roman"/>
          <w:szCs w:val="20"/>
          <w:lang w:val="hr-HR" w:eastAsia="en-GB"/>
        </w:rPr>
        <w:t>sačine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mehanizme za obrazovanje i o</w:t>
      </w:r>
      <w:r w:rsidR="00B740EA" w:rsidRPr="00E244C4">
        <w:rPr>
          <w:rFonts w:eastAsia="Times New Roman" w:cs="Times New Roman"/>
          <w:szCs w:val="20"/>
          <w:lang w:val="hr-HR" w:eastAsia="en-GB"/>
        </w:rPr>
        <w:t>buku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svoj</w:t>
      </w:r>
      <w:r w:rsidR="002E09B5" w:rsidRPr="00E244C4">
        <w:rPr>
          <w:rFonts w:eastAsia="Times New Roman" w:cs="Times New Roman"/>
          <w:szCs w:val="20"/>
          <w:lang w:val="hr-HR" w:eastAsia="en-GB"/>
        </w:rPr>
        <w:t>ih zaposlenih</w:t>
      </w:r>
      <w:r w:rsidRPr="00E244C4">
        <w:rPr>
          <w:rFonts w:eastAsia="Times New Roman" w:cs="Times New Roman"/>
          <w:szCs w:val="20"/>
          <w:lang w:val="hr-HR" w:eastAsia="en-GB"/>
        </w:rPr>
        <w:t xml:space="preserve"> koj</w:t>
      </w:r>
      <w:r w:rsidR="002E09B5" w:rsidRPr="00E244C4">
        <w:rPr>
          <w:rFonts w:eastAsia="Times New Roman" w:cs="Times New Roman"/>
          <w:szCs w:val="20"/>
          <w:lang w:val="hr-HR" w:eastAsia="en-GB"/>
        </w:rPr>
        <w:t>i imaju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odgovornosti </w:t>
      </w:r>
      <w:r w:rsidR="00B740EA" w:rsidRPr="00E244C4">
        <w:rPr>
          <w:rFonts w:eastAsia="Times New Roman" w:cs="Times New Roman"/>
          <w:szCs w:val="20"/>
          <w:lang w:val="hr-HR" w:eastAsia="en-GB"/>
        </w:rPr>
        <w:t>u vezi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s nuklearnom sigurnošću nuklearnih </w:t>
      </w:r>
      <w:r w:rsidR="00753B05" w:rsidRPr="00E244C4">
        <w:rPr>
          <w:rFonts w:eastAsia="Times New Roman" w:cs="Times New Roman"/>
          <w:szCs w:val="20"/>
          <w:lang w:val="hr-HR" w:eastAsia="en-GB"/>
        </w:rPr>
        <w:t>objekata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tako da </w:t>
      </w:r>
      <w:r w:rsidR="00CC27CA" w:rsidRPr="00E244C4">
        <w:rPr>
          <w:rFonts w:eastAsia="Times New Roman" w:cs="Times New Roman"/>
          <w:szCs w:val="20"/>
          <w:lang w:val="hr-HR" w:eastAsia="en-GB"/>
        </w:rPr>
        <w:t>oni stiču</w:t>
      </w:r>
      <w:r w:rsidRPr="00E244C4">
        <w:rPr>
          <w:rFonts w:eastAsia="Times New Roman" w:cs="Times New Roman"/>
          <w:szCs w:val="20"/>
          <w:lang w:val="hr-HR" w:eastAsia="en-GB"/>
        </w:rPr>
        <w:t>, održava</w:t>
      </w:r>
      <w:r w:rsidR="00CC27CA" w:rsidRPr="00E244C4">
        <w:rPr>
          <w:rFonts w:eastAsia="Times New Roman" w:cs="Times New Roman"/>
          <w:szCs w:val="20"/>
          <w:lang w:val="hr-HR" w:eastAsia="en-GB"/>
        </w:rPr>
        <w:t>ju i dalje razvijaju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stručno</w:t>
      </w:r>
      <w:r w:rsidR="001652FA" w:rsidRPr="00E244C4">
        <w:rPr>
          <w:rFonts w:eastAsia="Times New Roman" w:cs="Times New Roman"/>
          <w:szCs w:val="20"/>
          <w:lang w:val="hr-HR" w:eastAsia="en-GB"/>
        </w:rPr>
        <w:t>st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 vještine u </w:t>
      </w:r>
      <w:r w:rsidR="00AA7B4C" w:rsidRPr="00E244C4">
        <w:rPr>
          <w:rFonts w:eastAsia="Times New Roman" w:cs="Times New Roman"/>
          <w:szCs w:val="20"/>
          <w:lang w:val="hr-HR" w:eastAsia="en-GB"/>
        </w:rPr>
        <w:t>oblasti</w:t>
      </w:r>
      <w:r w:rsidR="001652FA" w:rsidRPr="00E244C4">
        <w:rPr>
          <w:rFonts w:eastAsia="Times New Roman" w:cs="Times New Roman"/>
          <w:szCs w:val="20"/>
          <w:lang w:val="hr-HR" w:eastAsia="en-GB"/>
        </w:rPr>
        <w:t>ma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nuklearne sigurnosti i pripr</w:t>
      </w:r>
      <w:r w:rsidR="00A1098C" w:rsidRPr="00E244C4">
        <w:rPr>
          <w:rFonts w:eastAsia="Times New Roman" w:cs="Times New Roman"/>
          <w:szCs w:val="20"/>
          <w:lang w:val="hr-HR" w:eastAsia="en-GB"/>
        </w:rPr>
        <w:t xml:space="preserve">emljenosti </w:t>
      </w:r>
      <w:r w:rsidRPr="00E244C4">
        <w:rPr>
          <w:rFonts w:eastAsia="Times New Roman" w:cs="Times New Roman"/>
          <w:szCs w:val="20"/>
          <w:lang w:val="hr-HR" w:eastAsia="en-GB"/>
        </w:rPr>
        <w:t xml:space="preserve">za </w:t>
      </w:r>
      <w:r w:rsidR="000E6EF1" w:rsidRPr="00E244C4">
        <w:rPr>
          <w:rFonts w:eastAsia="Times New Roman" w:cs="Times New Roman"/>
          <w:szCs w:val="20"/>
          <w:lang w:val="hr-HR" w:eastAsia="en-GB"/>
        </w:rPr>
        <w:t>vanred</w:t>
      </w:r>
      <w:r w:rsidR="00A1098C" w:rsidRPr="00E244C4">
        <w:rPr>
          <w:rFonts w:eastAsia="Times New Roman" w:cs="Times New Roman"/>
          <w:szCs w:val="20"/>
          <w:lang w:val="hr-HR" w:eastAsia="en-GB"/>
        </w:rPr>
        <w:t>ni događaj na l</w:t>
      </w:r>
      <w:r w:rsidR="001652FA" w:rsidRPr="00E244C4">
        <w:rPr>
          <w:rFonts w:eastAsia="Times New Roman" w:cs="Times New Roman"/>
          <w:szCs w:val="20"/>
          <w:lang w:val="hr-HR" w:eastAsia="en-GB"/>
        </w:rPr>
        <w:t>okaciji objekta</w:t>
      </w:r>
      <w:r w:rsidRPr="00E244C4">
        <w:rPr>
          <w:rFonts w:eastAsia="Times New Roman" w:cs="Times New Roman"/>
          <w:szCs w:val="20"/>
          <w:lang w:val="hr-HR" w:eastAsia="en-GB"/>
        </w:rPr>
        <w:t>.</w:t>
      </w:r>
    </w:p>
    <w:p w:rsidR="00B13B05" w:rsidRPr="00E244C4" w:rsidRDefault="00B13B05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B13B05">
      <w:pPr>
        <w:jc w:val="center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Član 8.</w:t>
      </w:r>
    </w:p>
    <w:p w:rsidR="00371F52" w:rsidRPr="00E244C4" w:rsidRDefault="00371F52" w:rsidP="00B13B05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E244C4">
        <w:rPr>
          <w:rFonts w:eastAsia="Times New Roman" w:cs="Times New Roman"/>
          <w:b/>
          <w:szCs w:val="20"/>
          <w:lang w:val="hr-HR" w:eastAsia="en-GB"/>
        </w:rPr>
        <w:t>Transparentnost</w:t>
      </w:r>
    </w:p>
    <w:p w:rsidR="00B13B05" w:rsidRPr="00E244C4" w:rsidRDefault="00B13B05" w:rsidP="00B13B05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B13B05">
      <w:pPr>
        <w:pStyle w:val="ListParagraph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Države članice </w:t>
      </w:r>
      <w:r w:rsidR="00B50205" w:rsidRPr="00E244C4">
        <w:rPr>
          <w:rFonts w:eastAsia="Times New Roman" w:cs="Times New Roman"/>
          <w:szCs w:val="20"/>
          <w:lang w:val="hr-HR" w:eastAsia="en-GB"/>
        </w:rPr>
        <w:t>se brinu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da </w:t>
      </w:r>
      <w:r w:rsidR="00B50205" w:rsidRPr="00E244C4">
        <w:rPr>
          <w:rFonts w:eastAsia="Times New Roman" w:cs="Times New Roman"/>
          <w:szCs w:val="20"/>
          <w:lang w:val="hr-HR" w:eastAsia="en-GB"/>
        </w:rPr>
        <w:t>zaposlenima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 javnosti budu dostupne potrebne informacije </w:t>
      </w:r>
      <w:r w:rsidR="00B50205" w:rsidRPr="00E244C4">
        <w:rPr>
          <w:rFonts w:eastAsia="Times New Roman" w:cs="Times New Roman"/>
          <w:szCs w:val="20"/>
          <w:lang w:val="hr-HR" w:eastAsia="en-GB"/>
        </w:rPr>
        <w:t>u vezi s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nuklearnom sigurnošću nuklearnih </w:t>
      </w:r>
      <w:r w:rsidR="000E6EF1" w:rsidRPr="00E244C4">
        <w:rPr>
          <w:rFonts w:eastAsia="Times New Roman" w:cs="Times New Roman"/>
          <w:szCs w:val="20"/>
          <w:lang w:val="hr-HR" w:eastAsia="en-GB"/>
        </w:rPr>
        <w:t>objekata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 njen</w:t>
      </w:r>
      <w:r w:rsidR="00B50205" w:rsidRPr="00E244C4">
        <w:rPr>
          <w:rFonts w:eastAsia="Times New Roman" w:cs="Times New Roman"/>
          <w:szCs w:val="20"/>
          <w:lang w:val="hr-HR" w:eastAsia="en-GB"/>
        </w:rPr>
        <w:t>i</w:t>
      </w:r>
      <w:r w:rsidRPr="00E244C4">
        <w:rPr>
          <w:rFonts w:eastAsia="Times New Roman" w:cs="Times New Roman"/>
          <w:szCs w:val="20"/>
          <w:lang w:val="hr-HR" w:eastAsia="en-GB"/>
        </w:rPr>
        <w:t>m regul</w:t>
      </w:r>
      <w:r w:rsidR="00B50205" w:rsidRPr="00E244C4">
        <w:rPr>
          <w:rFonts w:eastAsia="Times New Roman" w:cs="Times New Roman"/>
          <w:szCs w:val="20"/>
          <w:lang w:val="hr-HR" w:eastAsia="en-GB"/>
        </w:rPr>
        <w:t>isanjem</w:t>
      </w:r>
      <w:r w:rsidRPr="00E244C4">
        <w:rPr>
          <w:rFonts w:eastAsia="Times New Roman" w:cs="Times New Roman"/>
          <w:szCs w:val="20"/>
          <w:lang w:val="hr-HR" w:eastAsia="en-GB"/>
        </w:rPr>
        <w:t xml:space="preserve">, </w:t>
      </w:r>
      <w:r w:rsidR="00B50205" w:rsidRPr="00E244C4">
        <w:rPr>
          <w:rFonts w:eastAsia="Times New Roman" w:cs="Times New Roman"/>
          <w:szCs w:val="20"/>
          <w:lang w:val="hr-HR" w:eastAsia="en-GB"/>
        </w:rPr>
        <w:t>uz posebno uzimanje u obzir</w:t>
      </w:r>
      <w:r w:rsidRPr="00E244C4">
        <w:rPr>
          <w:rFonts w:eastAsia="Times New Roman" w:cs="Times New Roman"/>
          <w:szCs w:val="20"/>
          <w:lang w:val="hr-HR" w:eastAsia="en-GB"/>
        </w:rPr>
        <w:t xml:space="preserve"> lokaln</w:t>
      </w:r>
      <w:r w:rsidR="00B50205" w:rsidRPr="00E244C4">
        <w:rPr>
          <w:rFonts w:eastAsia="Times New Roman" w:cs="Times New Roman"/>
          <w:szCs w:val="20"/>
          <w:lang w:val="hr-HR" w:eastAsia="en-GB"/>
        </w:rPr>
        <w:t>ih</w:t>
      </w:r>
      <w:r w:rsidRPr="00E244C4">
        <w:rPr>
          <w:rFonts w:eastAsia="Times New Roman" w:cs="Times New Roman"/>
          <w:szCs w:val="20"/>
          <w:lang w:val="hr-HR" w:eastAsia="en-GB"/>
        </w:rPr>
        <w:t xml:space="preserve"> vlasti, </w:t>
      </w:r>
      <w:r w:rsidR="008711B9" w:rsidRPr="00E244C4">
        <w:rPr>
          <w:rFonts w:eastAsia="Times New Roman" w:cs="Times New Roman"/>
          <w:szCs w:val="20"/>
          <w:lang w:val="hr-HR" w:eastAsia="en-GB"/>
        </w:rPr>
        <w:t>stanovništva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 </w:t>
      </w:r>
      <w:r w:rsidR="000E6EF1" w:rsidRPr="00E244C4">
        <w:rPr>
          <w:rFonts w:eastAsia="Times New Roman" w:cs="Times New Roman"/>
          <w:szCs w:val="20"/>
          <w:lang w:val="hr-HR" w:eastAsia="en-GB"/>
        </w:rPr>
        <w:t>zainteresovan</w:t>
      </w:r>
      <w:r w:rsidR="00B50205" w:rsidRPr="00E244C4">
        <w:rPr>
          <w:rFonts w:eastAsia="Times New Roman" w:cs="Times New Roman"/>
          <w:szCs w:val="20"/>
          <w:lang w:val="hr-HR" w:eastAsia="en-GB"/>
        </w:rPr>
        <w:t>ih</w:t>
      </w:r>
      <w:r w:rsidR="000E6EF1" w:rsidRPr="00E244C4">
        <w:rPr>
          <w:rFonts w:eastAsia="Times New Roman" w:cs="Times New Roman"/>
          <w:szCs w:val="20"/>
          <w:lang w:val="hr-HR" w:eastAsia="en-GB"/>
        </w:rPr>
        <w:t xml:space="preserve"> stran</w:t>
      </w:r>
      <w:r w:rsidR="00B50205" w:rsidRPr="00E244C4">
        <w:rPr>
          <w:rFonts w:eastAsia="Times New Roman" w:cs="Times New Roman"/>
          <w:szCs w:val="20"/>
          <w:lang w:val="hr-HR" w:eastAsia="en-GB"/>
        </w:rPr>
        <w:t>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u blizini nuklearnog </w:t>
      </w:r>
      <w:r w:rsidR="000E6EF1" w:rsidRPr="00E244C4">
        <w:rPr>
          <w:rFonts w:eastAsia="Times New Roman" w:cs="Times New Roman"/>
          <w:szCs w:val="20"/>
          <w:lang w:val="hr-HR" w:eastAsia="en-GB"/>
        </w:rPr>
        <w:t>objekta</w:t>
      </w:r>
      <w:r w:rsidRPr="00E244C4">
        <w:rPr>
          <w:rFonts w:eastAsia="Times New Roman" w:cs="Times New Roman"/>
          <w:szCs w:val="20"/>
          <w:lang w:val="hr-HR" w:eastAsia="en-GB"/>
        </w:rPr>
        <w:t>. Navedena ob</w:t>
      </w:r>
      <w:r w:rsidR="002E09B5" w:rsidRPr="00E244C4">
        <w:rPr>
          <w:rFonts w:eastAsia="Times New Roman" w:cs="Times New Roman"/>
          <w:szCs w:val="20"/>
          <w:lang w:val="hr-HR" w:eastAsia="en-GB"/>
        </w:rPr>
        <w:t>a</w:t>
      </w:r>
      <w:r w:rsidRPr="00E244C4">
        <w:rPr>
          <w:rFonts w:eastAsia="Times New Roman" w:cs="Times New Roman"/>
          <w:szCs w:val="20"/>
          <w:lang w:val="hr-HR" w:eastAsia="en-GB"/>
        </w:rPr>
        <w:t>veza uključuje i osiguravanje da nadležn</w:t>
      </w:r>
      <w:r w:rsidR="000E6EF1" w:rsidRPr="00E244C4">
        <w:rPr>
          <w:rFonts w:eastAsia="Times New Roman" w:cs="Times New Roman"/>
          <w:szCs w:val="20"/>
          <w:lang w:val="hr-HR" w:eastAsia="en-GB"/>
        </w:rPr>
        <w:t>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regulatorn</w:t>
      </w:r>
      <w:r w:rsidR="000E6EF1" w:rsidRPr="00E244C4">
        <w:rPr>
          <w:rFonts w:eastAsia="Times New Roman" w:cs="Times New Roman"/>
          <w:szCs w:val="20"/>
          <w:lang w:val="hr-HR" w:eastAsia="en-GB"/>
        </w:rPr>
        <w:t>i organ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 </w:t>
      </w:r>
      <w:r w:rsidR="000E6EF1" w:rsidRPr="00E244C4">
        <w:rPr>
          <w:rFonts w:eastAsia="Times New Roman" w:cs="Times New Roman"/>
          <w:szCs w:val="20"/>
          <w:lang w:val="hr-HR" w:eastAsia="en-GB"/>
        </w:rPr>
        <w:t>vlasnici licence</w:t>
      </w:r>
      <w:r w:rsidRPr="00E244C4">
        <w:rPr>
          <w:rFonts w:eastAsia="Times New Roman" w:cs="Times New Roman"/>
          <w:szCs w:val="20"/>
          <w:lang w:val="hr-HR" w:eastAsia="en-GB"/>
        </w:rPr>
        <w:t xml:space="preserve">, svaki u području svoje </w:t>
      </w:r>
      <w:r w:rsidR="00B50205" w:rsidRPr="00E244C4">
        <w:rPr>
          <w:rFonts w:eastAsia="Times New Roman" w:cs="Times New Roman"/>
          <w:szCs w:val="20"/>
          <w:lang w:val="hr-HR" w:eastAsia="en-GB"/>
        </w:rPr>
        <w:t>nadležnosti</w:t>
      </w:r>
      <w:r w:rsidRPr="00E244C4">
        <w:rPr>
          <w:rFonts w:eastAsia="Times New Roman" w:cs="Times New Roman"/>
          <w:szCs w:val="20"/>
          <w:lang w:val="hr-HR" w:eastAsia="en-GB"/>
        </w:rPr>
        <w:t xml:space="preserve">, </w:t>
      </w:r>
      <w:r w:rsidR="008711B9" w:rsidRPr="00E244C4">
        <w:rPr>
          <w:rFonts w:eastAsia="Times New Roman" w:cs="Times New Roman"/>
          <w:szCs w:val="20"/>
          <w:lang w:val="hr-HR" w:eastAsia="en-GB"/>
        </w:rPr>
        <w:t>omoguće</w:t>
      </w:r>
      <w:r w:rsidR="00B50205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Pr="00E244C4">
        <w:rPr>
          <w:rFonts w:eastAsia="Times New Roman" w:cs="Times New Roman"/>
          <w:szCs w:val="20"/>
          <w:lang w:val="hr-HR" w:eastAsia="en-GB"/>
        </w:rPr>
        <w:t xml:space="preserve">u okviru svoje politike </w:t>
      </w:r>
      <w:r w:rsidR="00B50205" w:rsidRPr="00E244C4">
        <w:rPr>
          <w:rFonts w:eastAsia="Times New Roman" w:cs="Times New Roman"/>
          <w:szCs w:val="20"/>
          <w:lang w:val="hr-HR" w:eastAsia="en-GB"/>
        </w:rPr>
        <w:t>komunikacije</w:t>
      </w:r>
      <w:r w:rsidRPr="00E244C4">
        <w:rPr>
          <w:rFonts w:eastAsia="Times New Roman" w:cs="Times New Roman"/>
          <w:szCs w:val="20"/>
          <w:lang w:val="hr-HR" w:eastAsia="en-GB"/>
        </w:rPr>
        <w:t>:</w:t>
      </w:r>
    </w:p>
    <w:p w:rsidR="00B13B05" w:rsidRPr="00E244C4" w:rsidRDefault="00B13B05" w:rsidP="00B13B05">
      <w:pPr>
        <w:pStyle w:val="ListParagraph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37463A">
      <w:pPr>
        <w:pStyle w:val="ListParagraph"/>
        <w:numPr>
          <w:ilvl w:val="0"/>
          <w:numId w:val="22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informacije </w:t>
      </w:r>
      <w:r w:rsidR="008711B9" w:rsidRPr="00E244C4">
        <w:rPr>
          <w:rFonts w:eastAsia="Times New Roman" w:cs="Times New Roman"/>
          <w:szCs w:val="20"/>
          <w:lang w:val="hr-HR" w:eastAsia="en-GB"/>
        </w:rPr>
        <w:t xml:space="preserve">zaposlenima i </w:t>
      </w:r>
      <w:r w:rsidR="008711B9" w:rsidRPr="00E244C4">
        <w:rPr>
          <w:rFonts w:eastAsia="Times New Roman" w:cs="Times New Roman"/>
          <w:szCs w:val="20"/>
          <w:lang w:val="hr-HR" w:eastAsia="en-GB"/>
        </w:rPr>
        <w:tab/>
        <w:t xml:space="preserve">javnosti </w:t>
      </w:r>
      <w:r w:rsidRPr="00E244C4">
        <w:rPr>
          <w:rFonts w:eastAsia="Times New Roman" w:cs="Times New Roman"/>
          <w:szCs w:val="20"/>
          <w:lang w:val="hr-HR" w:eastAsia="en-GB"/>
        </w:rPr>
        <w:t xml:space="preserve">o normalnim </w:t>
      </w:r>
      <w:r w:rsidR="00383FAF" w:rsidRPr="00E244C4">
        <w:rPr>
          <w:rFonts w:eastAsia="Times New Roman" w:cs="Times New Roman"/>
          <w:szCs w:val="20"/>
          <w:lang w:val="hr-HR" w:eastAsia="en-GB"/>
        </w:rPr>
        <w:t>uslov</w:t>
      </w:r>
      <w:r w:rsidRPr="00E244C4">
        <w:rPr>
          <w:rFonts w:eastAsia="Times New Roman" w:cs="Times New Roman"/>
          <w:szCs w:val="20"/>
          <w:lang w:val="hr-HR" w:eastAsia="en-GB"/>
        </w:rPr>
        <w:t xml:space="preserve">ima rada nuklearnih </w:t>
      </w:r>
      <w:r w:rsidR="008711B9" w:rsidRPr="00E244C4">
        <w:rPr>
          <w:rFonts w:eastAsia="Times New Roman" w:cs="Times New Roman"/>
          <w:szCs w:val="20"/>
          <w:lang w:val="hr-HR" w:eastAsia="en-GB"/>
        </w:rPr>
        <w:tab/>
      </w:r>
      <w:r w:rsidR="00950B2C" w:rsidRPr="00E244C4">
        <w:rPr>
          <w:rFonts w:eastAsia="Times New Roman" w:cs="Times New Roman"/>
          <w:szCs w:val="20"/>
          <w:lang w:val="hr-HR" w:eastAsia="en-GB"/>
        </w:rPr>
        <w:t>objekata</w:t>
      </w:r>
      <w:r w:rsidRPr="00E244C4">
        <w:rPr>
          <w:rFonts w:eastAsia="Times New Roman" w:cs="Times New Roman"/>
          <w:szCs w:val="20"/>
          <w:lang w:val="hr-HR" w:eastAsia="en-GB"/>
        </w:rPr>
        <w:t>; i</w:t>
      </w:r>
    </w:p>
    <w:p w:rsidR="00B13B05" w:rsidRPr="00E244C4" w:rsidRDefault="00B13B05" w:rsidP="0037463A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37463A">
      <w:pPr>
        <w:pStyle w:val="ListParagraph"/>
        <w:numPr>
          <w:ilvl w:val="0"/>
          <w:numId w:val="22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u slučaju </w:t>
      </w:r>
      <w:r w:rsidR="00B13B05" w:rsidRPr="00E244C4">
        <w:rPr>
          <w:rFonts w:eastAsia="Times New Roman" w:cs="Times New Roman"/>
          <w:szCs w:val="20"/>
          <w:lang w:val="hr-HR" w:eastAsia="en-GB"/>
        </w:rPr>
        <w:t>incidenata i akcidenata, hitne informacije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B50205" w:rsidRPr="00E244C4">
        <w:rPr>
          <w:rFonts w:eastAsia="Times New Roman" w:cs="Times New Roman"/>
          <w:szCs w:val="20"/>
          <w:lang w:val="hr-HR" w:eastAsia="en-GB"/>
        </w:rPr>
        <w:t>zaposlenima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 javn</w:t>
      </w:r>
      <w:r w:rsidR="00B13B05" w:rsidRPr="00E244C4">
        <w:rPr>
          <w:rFonts w:eastAsia="Times New Roman" w:cs="Times New Roman"/>
          <w:szCs w:val="20"/>
          <w:lang w:val="hr-HR" w:eastAsia="en-GB"/>
        </w:rPr>
        <w:t xml:space="preserve">osti te </w:t>
      </w:r>
      <w:r w:rsidR="00B50205" w:rsidRPr="00E244C4">
        <w:rPr>
          <w:rFonts w:eastAsia="Times New Roman" w:cs="Times New Roman"/>
          <w:szCs w:val="20"/>
          <w:lang w:val="hr-HR" w:eastAsia="en-GB"/>
        </w:rPr>
        <w:tab/>
      </w:r>
      <w:r w:rsidR="00B13B05" w:rsidRPr="00E244C4">
        <w:rPr>
          <w:rFonts w:eastAsia="Times New Roman" w:cs="Times New Roman"/>
          <w:szCs w:val="20"/>
          <w:lang w:val="hr-HR" w:eastAsia="en-GB"/>
        </w:rPr>
        <w:t>nadležnim regulatornim organima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drugih država članica u blizini nuklearnog </w:t>
      </w:r>
      <w:r w:rsidR="0037463A" w:rsidRPr="00E244C4">
        <w:rPr>
          <w:rFonts w:eastAsia="Times New Roman" w:cs="Times New Roman"/>
          <w:szCs w:val="20"/>
          <w:lang w:val="hr-HR" w:eastAsia="en-GB"/>
        </w:rPr>
        <w:tab/>
      </w:r>
      <w:r w:rsidR="00A1098C" w:rsidRPr="00E244C4">
        <w:rPr>
          <w:rFonts w:eastAsia="Times New Roman" w:cs="Times New Roman"/>
          <w:szCs w:val="20"/>
          <w:lang w:val="hr-HR" w:eastAsia="en-GB"/>
        </w:rPr>
        <w:t>objekta</w:t>
      </w:r>
      <w:r w:rsidRPr="00E244C4">
        <w:rPr>
          <w:rFonts w:eastAsia="Times New Roman" w:cs="Times New Roman"/>
          <w:szCs w:val="20"/>
          <w:lang w:val="hr-HR" w:eastAsia="en-GB"/>
        </w:rPr>
        <w:t>.</w:t>
      </w:r>
    </w:p>
    <w:p w:rsidR="00B13B05" w:rsidRPr="00E244C4" w:rsidRDefault="00B13B05" w:rsidP="00B13B05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B13B05">
      <w:pPr>
        <w:pStyle w:val="ListParagraph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Informacije se stavljaju na raspolaganje javnosti u skladu s </w:t>
      </w:r>
      <w:r w:rsidR="00B50205" w:rsidRPr="00E244C4">
        <w:rPr>
          <w:rFonts w:eastAsia="Times New Roman" w:cs="Times New Roman"/>
          <w:szCs w:val="20"/>
          <w:lang w:val="hr-HR" w:eastAsia="en-GB"/>
        </w:rPr>
        <w:t>relevant</w:t>
      </w:r>
      <w:r w:rsidRPr="00E244C4">
        <w:rPr>
          <w:rFonts w:eastAsia="Times New Roman" w:cs="Times New Roman"/>
          <w:szCs w:val="20"/>
          <w:lang w:val="hr-HR" w:eastAsia="en-GB"/>
        </w:rPr>
        <w:t xml:space="preserve">nim zakonodavstvom i međunarodnim instrumentima, pod </w:t>
      </w:r>
      <w:r w:rsidR="00383FAF" w:rsidRPr="00E244C4">
        <w:rPr>
          <w:rFonts w:eastAsia="Times New Roman" w:cs="Times New Roman"/>
          <w:szCs w:val="20"/>
          <w:lang w:val="hr-HR" w:eastAsia="en-GB"/>
        </w:rPr>
        <w:t>uslov</w:t>
      </w:r>
      <w:r w:rsidRPr="00E244C4">
        <w:rPr>
          <w:rFonts w:eastAsia="Times New Roman" w:cs="Times New Roman"/>
          <w:szCs w:val="20"/>
          <w:lang w:val="hr-HR" w:eastAsia="en-GB"/>
        </w:rPr>
        <w:t xml:space="preserve">om da se time ne ugrožavaju drugi nadređeni interesi, kao što je </w:t>
      </w:r>
      <w:r w:rsidR="00B50205" w:rsidRPr="00E244C4">
        <w:rPr>
          <w:rFonts w:eastAsia="Times New Roman" w:cs="Times New Roman"/>
          <w:szCs w:val="20"/>
          <w:lang w:val="hr-HR" w:eastAsia="en-GB"/>
        </w:rPr>
        <w:t>bezbjednost</w:t>
      </w:r>
      <w:r w:rsidRPr="00E244C4">
        <w:rPr>
          <w:rFonts w:eastAsia="Times New Roman" w:cs="Times New Roman"/>
          <w:szCs w:val="20"/>
          <w:lang w:val="hr-HR" w:eastAsia="en-GB"/>
        </w:rPr>
        <w:t>, priznati u odgovarajućem zakonodavstvu ili međunarodnim instrumentima.</w:t>
      </w:r>
    </w:p>
    <w:p w:rsidR="00B13B05" w:rsidRPr="00E244C4" w:rsidRDefault="00B13B05" w:rsidP="00B13B05">
      <w:pPr>
        <w:pStyle w:val="ListParagraph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B13B05" w:rsidP="00B13B05">
      <w:pPr>
        <w:pStyle w:val="ListParagraph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Ne dovodeći u pitanje član 5 stav 2., d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ržave članice </w:t>
      </w:r>
      <w:r w:rsidR="008711B9" w:rsidRPr="00E244C4">
        <w:rPr>
          <w:rFonts w:eastAsia="Times New Roman" w:cs="Times New Roman"/>
          <w:szCs w:val="20"/>
          <w:lang w:val="hr-HR" w:eastAsia="en-GB"/>
        </w:rPr>
        <w:t>osiguravaju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da nadležn</w:t>
      </w:r>
      <w:r w:rsidRPr="00E244C4">
        <w:rPr>
          <w:rFonts w:eastAsia="Times New Roman" w:cs="Times New Roman"/>
          <w:szCs w:val="20"/>
          <w:lang w:val="hr-HR" w:eastAsia="en-GB"/>
        </w:rPr>
        <w:t>i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re</w:t>
      </w:r>
      <w:r w:rsidRPr="00E244C4">
        <w:rPr>
          <w:rFonts w:eastAsia="Times New Roman" w:cs="Times New Roman"/>
          <w:szCs w:val="20"/>
          <w:lang w:val="hr-HR" w:eastAsia="en-GB"/>
        </w:rPr>
        <w:t xml:space="preserve">gulatorni organ </w:t>
      </w:r>
      <w:r w:rsidR="00B50205" w:rsidRPr="00E244C4">
        <w:rPr>
          <w:rFonts w:eastAsia="Times New Roman" w:cs="Times New Roman"/>
          <w:szCs w:val="20"/>
          <w:lang w:val="hr-HR" w:eastAsia="en-GB"/>
        </w:rPr>
        <w:t xml:space="preserve">po potrebi </w:t>
      </w:r>
      <w:r w:rsidRPr="00E244C4">
        <w:rPr>
          <w:rFonts w:eastAsia="Times New Roman" w:cs="Times New Roman"/>
          <w:szCs w:val="20"/>
          <w:lang w:val="hr-HR" w:eastAsia="en-GB"/>
        </w:rPr>
        <w:t>učestvuje u aktivnostima sa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radnje u </w:t>
      </w:r>
      <w:r w:rsidR="00B50205" w:rsidRPr="00E244C4">
        <w:rPr>
          <w:rFonts w:eastAsia="Times New Roman" w:cs="Times New Roman"/>
          <w:szCs w:val="20"/>
          <w:lang w:val="hr-HR" w:eastAsia="en-GB"/>
        </w:rPr>
        <w:t>oblasti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nuklearne sigurnosti nuklearnih </w:t>
      </w:r>
      <w:r w:rsidR="000859CC" w:rsidRPr="00E244C4">
        <w:rPr>
          <w:rFonts w:eastAsia="Times New Roman" w:cs="Times New Roman"/>
          <w:szCs w:val="20"/>
          <w:lang w:val="hr-HR" w:eastAsia="en-GB"/>
        </w:rPr>
        <w:t>objekata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s nadležnim regulatornim </w:t>
      </w:r>
      <w:r w:rsidRPr="00E244C4">
        <w:rPr>
          <w:rFonts w:eastAsia="Times New Roman" w:cs="Times New Roman"/>
          <w:szCs w:val="20"/>
          <w:lang w:val="hr-HR" w:eastAsia="en-GB"/>
        </w:rPr>
        <w:t>organima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drugih država članica u blizini nuklearnog </w:t>
      </w:r>
      <w:r w:rsidR="00A1098C" w:rsidRPr="00E244C4">
        <w:rPr>
          <w:rFonts w:eastAsia="Times New Roman" w:cs="Times New Roman"/>
          <w:szCs w:val="20"/>
          <w:lang w:val="hr-HR" w:eastAsia="en-GB"/>
        </w:rPr>
        <w:t>objekta</w:t>
      </w:r>
      <w:r w:rsidR="00371F52" w:rsidRPr="00E244C4">
        <w:rPr>
          <w:rFonts w:eastAsia="Times New Roman" w:cs="Times New Roman"/>
          <w:szCs w:val="20"/>
          <w:lang w:val="hr-HR" w:eastAsia="en-GB"/>
        </w:rPr>
        <w:t>, između ostalog, putem razmjene informacija i/ili zajedničkog korištenja informacija.</w:t>
      </w:r>
    </w:p>
    <w:p w:rsidR="00B13B05" w:rsidRPr="00E244C4" w:rsidRDefault="00B13B05" w:rsidP="00B13B05">
      <w:pPr>
        <w:pStyle w:val="ListParagraph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B13B05">
      <w:pPr>
        <w:pStyle w:val="ListParagraph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Države članice </w:t>
      </w:r>
      <w:r w:rsidR="00476E37" w:rsidRPr="00E244C4">
        <w:rPr>
          <w:rFonts w:eastAsia="Times New Roman" w:cs="Times New Roman"/>
          <w:szCs w:val="20"/>
          <w:lang w:val="hr-HR" w:eastAsia="en-GB"/>
        </w:rPr>
        <w:t>se brinu da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javnost dobije </w:t>
      </w:r>
      <w:r w:rsidR="00476E37" w:rsidRPr="00E244C4">
        <w:rPr>
          <w:rFonts w:eastAsia="Times New Roman" w:cs="Times New Roman"/>
          <w:szCs w:val="20"/>
          <w:lang w:val="hr-HR" w:eastAsia="en-GB"/>
        </w:rPr>
        <w:t>odgov</w:t>
      </w:r>
      <w:r w:rsidR="00001356" w:rsidRPr="00E244C4">
        <w:rPr>
          <w:rFonts w:eastAsia="Times New Roman" w:cs="Times New Roman"/>
          <w:szCs w:val="20"/>
          <w:lang w:val="hr-HR" w:eastAsia="en-GB"/>
        </w:rPr>
        <w:t>ar</w:t>
      </w:r>
      <w:r w:rsidR="00476E37" w:rsidRPr="00E244C4">
        <w:rPr>
          <w:rFonts w:eastAsia="Times New Roman" w:cs="Times New Roman"/>
          <w:szCs w:val="20"/>
          <w:lang w:val="hr-HR" w:eastAsia="en-GB"/>
        </w:rPr>
        <w:t>ajuće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mogućnosti za </w:t>
      </w:r>
      <w:r w:rsidR="00A1098C" w:rsidRPr="00E244C4">
        <w:rPr>
          <w:rFonts w:eastAsia="Times New Roman" w:cs="Times New Roman"/>
          <w:szCs w:val="20"/>
          <w:lang w:val="hr-HR" w:eastAsia="en-GB"/>
        </w:rPr>
        <w:t>efikasno učestvovanje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u p</w:t>
      </w:r>
      <w:r w:rsidR="00001356" w:rsidRPr="00E244C4">
        <w:rPr>
          <w:rFonts w:eastAsia="Times New Roman" w:cs="Times New Roman"/>
          <w:szCs w:val="20"/>
          <w:lang w:val="hr-HR" w:eastAsia="en-GB"/>
        </w:rPr>
        <w:t>rocesu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odlučivanja o izdavanju </w:t>
      </w:r>
      <w:r w:rsidR="00A1098C" w:rsidRPr="00E244C4">
        <w:rPr>
          <w:rFonts w:eastAsia="Times New Roman" w:cs="Times New Roman"/>
          <w:szCs w:val="20"/>
          <w:lang w:val="hr-HR" w:eastAsia="en-GB"/>
        </w:rPr>
        <w:t>licenci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nuklearnim </w:t>
      </w:r>
      <w:r w:rsidR="00A1098C" w:rsidRPr="00E244C4">
        <w:rPr>
          <w:rFonts w:eastAsia="Times New Roman" w:cs="Times New Roman"/>
          <w:szCs w:val="20"/>
          <w:lang w:val="hr-HR" w:eastAsia="en-GB"/>
        </w:rPr>
        <w:t>objektima</w:t>
      </w:r>
      <w:r w:rsidRPr="00E244C4">
        <w:rPr>
          <w:rFonts w:eastAsia="Times New Roman" w:cs="Times New Roman"/>
          <w:szCs w:val="20"/>
          <w:lang w:val="hr-HR" w:eastAsia="en-GB"/>
        </w:rPr>
        <w:t>, u skladu s odgovarajućim zakonodavstvom i međunarodnim instrumentima.</w:t>
      </w:r>
    </w:p>
    <w:p w:rsidR="00371F52" w:rsidRPr="00E244C4" w:rsidRDefault="00371F52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E37065">
      <w:pPr>
        <w:jc w:val="center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ODJELJAK 2.</w:t>
      </w:r>
    </w:p>
    <w:p w:rsidR="00371F52" w:rsidRPr="00E244C4" w:rsidRDefault="000E6EF1" w:rsidP="00E37065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E244C4">
        <w:rPr>
          <w:rFonts w:eastAsia="Times New Roman" w:cs="Times New Roman"/>
          <w:b/>
          <w:szCs w:val="20"/>
          <w:lang w:val="hr-HR" w:eastAsia="en-GB"/>
        </w:rPr>
        <w:t>POSEBNE OBAVEZE</w:t>
      </w:r>
    </w:p>
    <w:p w:rsidR="00E37065" w:rsidRPr="00E244C4" w:rsidRDefault="00E37065" w:rsidP="00E37065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E37065">
      <w:pPr>
        <w:jc w:val="center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Član 8a</w:t>
      </w:r>
      <w:r w:rsidR="009025F3" w:rsidRPr="00E244C4">
        <w:rPr>
          <w:rFonts w:eastAsia="Times New Roman" w:cs="Times New Roman"/>
          <w:szCs w:val="20"/>
          <w:lang w:val="hr-HR" w:eastAsia="en-GB"/>
        </w:rPr>
        <w:t>.</w:t>
      </w:r>
    </w:p>
    <w:p w:rsidR="00371F52" w:rsidRPr="00E244C4" w:rsidRDefault="00371F52" w:rsidP="00E37065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E244C4">
        <w:rPr>
          <w:rFonts w:eastAsia="Times New Roman" w:cs="Times New Roman"/>
          <w:b/>
          <w:szCs w:val="20"/>
          <w:lang w:val="hr-HR" w:eastAsia="en-GB"/>
        </w:rPr>
        <w:t>Cilj nuklearne sigurnosti za nuklearn</w:t>
      </w:r>
      <w:r w:rsidR="009025F3" w:rsidRPr="00E244C4">
        <w:rPr>
          <w:rFonts w:eastAsia="Times New Roman" w:cs="Times New Roman"/>
          <w:b/>
          <w:szCs w:val="20"/>
          <w:lang w:val="hr-HR" w:eastAsia="en-GB"/>
        </w:rPr>
        <w:t>e objekte</w:t>
      </w:r>
    </w:p>
    <w:p w:rsidR="00E37065" w:rsidRPr="00E244C4" w:rsidRDefault="00E37065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B13B05">
      <w:pPr>
        <w:pStyle w:val="ListParagraph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Države članice osiguravaju da </w:t>
      </w:r>
      <w:r w:rsidR="00797EE0" w:rsidRPr="00E244C4">
        <w:rPr>
          <w:rFonts w:eastAsia="Times New Roman" w:cs="Times New Roman"/>
          <w:szCs w:val="20"/>
          <w:lang w:val="hr-HR" w:eastAsia="en-GB"/>
        </w:rPr>
        <w:t>državn</w:t>
      </w:r>
      <w:r w:rsidRPr="00E244C4">
        <w:rPr>
          <w:rFonts w:eastAsia="Times New Roman" w:cs="Times New Roman"/>
          <w:szCs w:val="20"/>
          <w:lang w:val="hr-HR" w:eastAsia="en-GB"/>
        </w:rPr>
        <w:t xml:space="preserve">i okvir za nuklearnu sigurnost </w:t>
      </w:r>
      <w:r w:rsidR="00476E37" w:rsidRPr="00E244C4">
        <w:rPr>
          <w:rFonts w:eastAsia="Times New Roman" w:cs="Times New Roman"/>
          <w:szCs w:val="20"/>
          <w:lang w:val="hr-HR" w:eastAsia="en-GB"/>
        </w:rPr>
        <w:t>propisuje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da se nuklearn</w:t>
      </w:r>
      <w:r w:rsidR="00A1098C" w:rsidRPr="00E244C4">
        <w:rPr>
          <w:rFonts w:eastAsia="Times New Roman" w:cs="Times New Roman"/>
          <w:szCs w:val="20"/>
          <w:lang w:val="hr-HR" w:eastAsia="en-GB"/>
        </w:rPr>
        <w:t>i</w:t>
      </w:r>
      <w:r w:rsidR="009025F3" w:rsidRPr="00E244C4">
        <w:rPr>
          <w:rFonts w:eastAsia="Times New Roman" w:cs="Times New Roman"/>
          <w:szCs w:val="20"/>
          <w:lang w:val="hr-HR" w:eastAsia="en-GB"/>
        </w:rPr>
        <w:t xml:space="preserve"> objekt</w:t>
      </w:r>
      <w:r w:rsidR="00A1098C" w:rsidRPr="00E244C4">
        <w:rPr>
          <w:rFonts w:eastAsia="Times New Roman" w:cs="Times New Roman"/>
          <w:szCs w:val="20"/>
          <w:lang w:val="hr-HR" w:eastAsia="en-GB"/>
        </w:rPr>
        <w:t>i</w:t>
      </w:r>
      <w:r w:rsidR="009025F3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Pr="00E244C4">
        <w:rPr>
          <w:rFonts w:eastAsia="Times New Roman" w:cs="Times New Roman"/>
          <w:szCs w:val="20"/>
          <w:lang w:val="hr-HR" w:eastAsia="en-GB"/>
        </w:rPr>
        <w:t>projekt</w:t>
      </w:r>
      <w:r w:rsidR="009025F3" w:rsidRPr="00E244C4">
        <w:rPr>
          <w:rFonts w:eastAsia="Times New Roman" w:cs="Times New Roman"/>
          <w:szCs w:val="20"/>
          <w:lang w:val="hr-HR" w:eastAsia="en-GB"/>
        </w:rPr>
        <w:t>u</w:t>
      </w:r>
      <w:r w:rsidRPr="00E244C4">
        <w:rPr>
          <w:rFonts w:eastAsia="Times New Roman" w:cs="Times New Roman"/>
          <w:szCs w:val="20"/>
          <w:lang w:val="hr-HR" w:eastAsia="en-GB"/>
        </w:rPr>
        <w:t xml:space="preserve">ju, smještaju, grade, </w:t>
      </w:r>
      <w:r w:rsidR="00001356" w:rsidRPr="00E244C4">
        <w:rPr>
          <w:rFonts w:eastAsia="Times New Roman" w:cs="Times New Roman"/>
          <w:szCs w:val="20"/>
          <w:lang w:val="hr-HR" w:eastAsia="en-GB"/>
        </w:rPr>
        <w:t>puštaju u rad</w:t>
      </w:r>
      <w:r w:rsidRPr="00E244C4">
        <w:rPr>
          <w:rFonts w:eastAsia="Times New Roman" w:cs="Times New Roman"/>
          <w:szCs w:val="20"/>
          <w:lang w:val="hr-HR" w:eastAsia="en-GB"/>
        </w:rPr>
        <w:t xml:space="preserve">, </w:t>
      </w:r>
      <w:r w:rsidR="00001356" w:rsidRPr="00E244C4">
        <w:rPr>
          <w:rFonts w:eastAsia="Times New Roman" w:cs="Times New Roman"/>
          <w:szCs w:val="20"/>
          <w:lang w:val="hr-HR" w:eastAsia="en-GB"/>
        </w:rPr>
        <w:t>vode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 </w:t>
      </w:r>
      <w:r w:rsidR="00A1098C" w:rsidRPr="00E244C4">
        <w:rPr>
          <w:rFonts w:eastAsia="Times New Roman" w:cs="Times New Roman"/>
          <w:szCs w:val="20"/>
          <w:lang w:val="hr-HR" w:eastAsia="en-GB"/>
        </w:rPr>
        <w:t>dekomisioniraju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s ciljem sprečavanja </w:t>
      </w:r>
      <w:r w:rsidR="00A1098C" w:rsidRPr="00E244C4">
        <w:rPr>
          <w:rFonts w:eastAsia="Times New Roman" w:cs="Times New Roman"/>
          <w:szCs w:val="20"/>
          <w:lang w:val="hr-HR" w:eastAsia="en-GB"/>
        </w:rPr>
        <w:t>akcidenata,</w:t>
      </w:r>
      <w:r w:rsidRPr="00E244C4">
        <w:rPr>
          <w:rFonts w:eastAsia="Times New Roman" w:cs="Times New Roman"/>
          <w:szCs w:val="20"/>
          <w:lang w:val="hr-HR" w:eastAsia="en-GB"/>
        </w:rPr>
        <w:t xml:space="preserve"> a u slučaju </w:t>
      </w:r>
      <w:r w:rsidR="00A1098C" w:rsidRPr="00E244C4">
        <w:rPr>
          <w:rFonts w:eastAsia="Times New Roman" w:cs="Times New Roman"/>
          <w:szCs w:val="20"/>
          <w:lang w:val="hr-HR" w:eastAsia="en-GB"/>
        </w:rPr>
        <w:t>akcidenta</w:t>
      </w:r>
      <w:r w:rsidRPr="00E244C4">
        <w:rPr>
          <w:rFonts w:eastAsia="Times New Roman" w:cs="Times New Roman"/>
          <w:szCs w:val="20"/>
          <w:lang w:val="hr-HR" w:eastAsia="en-GB"/>
        </w:rPr>
        <w:t>, ublažavanja nje</w:t>
      </w:r>
      <w:r w:rsidR="00A1098C" w:rsidRPr="00E244C4">
        <w:rPr>
          <w:rFonts w:eastAsia="Times New Roman" w:cs="Times New Roman"/>
          <w:szCs w:val="20"/>
          <w:lang w:val="hr-HR" w:eastAsia="en-GB"/>
        </w:rPr>
        <w:t>govih</w:t>
      </w:r>
      <w:r w:rsidRPr="00E244C4">
        <w:rPr>
          <w:rFonts w:eastAsia="Times New Roman" w:cs="Times New Roman"/>
          <w:szCs w:val="20"/>
          <w:lang w:val="hr-HR" w:eastAsia="en-GB"/>
        </w:rPr>
        <w:t xml:space="preserve"> posljedica </w:t>
      </w:r>
      <w:r w:rsidR="00476E37" w:rsidRPr="00E244C4">
        <w:rPr>
          <w:rFonts w:eastAsia="Times New Roman" w:cs="Times New Roman"/>
          <w:szCs w:val="20"/>
          <w:lang w:val="hr-HR" w:eastAsia="en-GB"/>
        </w:rPr>
        <w:t>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izbjegavanja:</w:t>
      </w:r>
    </w:p>
    <w:p w:rsidR="00185525" w:rsidRPr="00E244C4" w:rsidRDefault="00185525" w:rsidP="00185525">
      <w:pPr>
        <w:pStyle w:val="ListParagraph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660154" w:rsidP="00886C49">
      <w:pPr>
        <w:pStyle w:val="ListParagraph"/>
        <w:numPr>
          <w:ilvl w:val="0"/>
          <w:numId w:val="23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prijevremenog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ispuštanja </w:t>
      </w:r>
      <w:r w:rsidR="00476E37" w:rsidRPr="00E244C4">
        <w:rPr>
          <w:rFonts w:eastAsia="Times New Roman" w:cs="Times New Roman"/>
          <w:szCs w:val="20"/>
          <w:lang w:val="hr-HR" w:eastAsia="en-GB"/>
        </w:rPr>
        <w:t xml:space="preserve">radioaktivnog materijala 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koje bi zahtijevalo mjere </w:t>
      </w:r>
      <w:r w:rsidR="008046A8" w:rsidRPr="00E244C4">
        <w:rPr>
          <w:rFonts w:eastAsia="Times New Roman" w:cs="Times New Roman"/>
          <w:szCs w:val="20"/>
          <w:lang w:val="hr-HR" w:eastAsia="en-GB"/>
        </w:rPr>
        <w:t>za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476E37" w:rsidRPr="00E244C4">
        <w:rPr>
          <w:rFonts w:eastAsia="Times New Roman" w:cs="Times New Roman"/>
          <w:szCs w:val="20"/>
          <w:lang w:val="hr-HR" w:eastAsia="en-GB"/>
        </w:rPr>
        <w:tab/>
      </w:r>
      <w:r w:rsidR="000E6EF1" w:rsidRPr="00E244C4">
        <w:rPr>
          <w:rFonts w:eastAsia="Times New Roman" w:cs="Times New Roman"/>
          <w:szCs w:val="20"/>
          <w:lang w:val="hr-HR" w:eastAsia="en-GB"/>
        </w:rPr>
        <w:t>vanred</w:t>
      </w:r>
      <w:r w:rsidR="00371F52" w:rsidRPr="00E244C4">
        <w:rPr>
          <w:rFonts w:eastAsia="Times New Roman" w:cs="Times New Roman"/>
          <w:szCs w:val="20"/>
          <w:lang w:val="hr-HR" w:eastAsia="en-GB"/>
        </w:rPr>
        <w:t>n</w:t>
      </w:r>
      <w:r w:rsidR="008046A8" w:rsidRPr="00E244C4">
        <w:rPr>
          <w:rFonts w:eastAsia="Times New Roman" w:cs="Times New Roman"/>
          <w:szCs w:val="20"/>
          <w:lang w:val="hr-HR" w:eastAsia="en-GB"/>
        </w:rPr>
        <w:t>i događaj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izvan </w:t>
      </w:r>
      <w:r w:rsidR="00001356" w:rsidRPr="00E244C4">
        <w:rPr>
          <w:rFonts w:eastAsia="Times New Roman" w:cs="Times New Roman"/>
          <w:szCs w:val="20"/>
          <w:lang w:val="hr-HR" w:eastAsia="en-GB"/>
        </w:rPr>
        <w:t>lokacije objekta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, ali </w:t>
      </w:r>
      <w:r w:rsidR="00A1098C" w:rsidRPr="00E244C4">
        <w:rPr>
          <w:rFonts w:eastAsia="Times New Roman" w:cs="Times New Roman"/>
          <w:szCs w:val="20"/>
          <w:lang w:val="hr-HR" w:eastAsia="en-GB"/>
        </w:rPr>
        <w:t>uz nedo</w:t>
      </w:r>
      <w:r w:rsidR="00476E37" w:rsidRPr="00E244C4">
        <w:rPr>
          <w:rFonts w:eastAsia="Times New Roman" w:cs="Times New Roman"/>
          <w:szCs w:val="20"/>
          <w:lang w:val="hr-HR" w:eastAsia="en-GB"/>
        </w:rPr>
        <w:t>voljno vremena</w:t>
      </w:r>
      <w:r w:rsidR="00A1098C" w:rsidRPr="00E244C4">
        <w:rPr>
          <w:rFonts w:eastAsia="Times New Roman" w:cs="Times New Roman"/>
          <w:szCs w:val="20"/>
          <w:lang w:val="hr-HR" w:eastAsia="en-GB"/>
        </w:rPr>
        <w:t xml:space="preserve"> za </w:t>
      </w:r>
      <w:r w:rsidR="00001356" w:rsidRPr="00E244C4">
        <w:rPr>
          <w:rFonts w:eastAsia="Times New Roman" w:cs="Times New Roman"/>
          <w:szCs w:val="20"/>
          <w:lang w:val="hr-HR" w:eastAsia="en-GB"/>
        </w:rPr>
        <w:tab/>
      </w:r>
      <w:r w:rsidR="00A1098C" w:rsidRPr="00E244C4">
        <w:rPr>
          <w:rFonts w:eastAsia="Times New Roman" w:cs="Times New Roman"/>
          <w:szCs w:val="20"/>
          <w:lang w:val="hr-HR" w:eastAsia="en-GB"/>
        </w:rPr>
        <w:t>njihovo provođenje</w:t>
      </w:r>
      <w:r w:rsidR="00371F52" w:rsidRPr="00E244C4">
        <w:rPr>
          <w:rFonts w:eastAsia="Times New Roman" w:cs="Times New Roman"/>
          <w:szCs w:val="20"/>
          <w:lang w:val="hr-HR" w:eastAsia="en-GB"/>
        </w:rPr>
        <w:t>;</w:t>
      </w:r>
    </w:p>
    <w:p w:rsidR="00185525" w:rsidRPr="00E244C4" w:rsidRDefault="00185525" w:rsidP="00886C49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886C49">
      <w:pPr>
        <w:pStyle w:val="ListParagraph"/>
        <w:numPr>
          <w:ilvl w:val="0"/>
          <w:numId w:val="23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lastRenderedPageBreak/>
        <w:t xml:space="preserve">velikog </w:t>
      </w:r>
      <w:r w:rsidR="00476E37" w:rsidRPr="00E244C4">
        <w:rPr>
          <w:rFonts w:eastAsia="Times New Roman" w:cs="Times New Roman"/>
          <w:szCs w:val="20"/>
          <w:lang w:val="hr-HR" w:eastAsia="en-GB"/>
        </w:rPr>
        <w:t>ispuštanja radioaktivnog materijala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koje bi zahtijevalo zaštitne mjere </w:t>
      </w:r>
      <w:r w:rsidR="00476E37" w:rsidRPr="00E244C4">
        <w:rPr>
          <w:rFonts w:eastAsia="Times New Roman" w:cs="Times New Roman"/>
          <w:szCs w:val="20"/>
          <w:lang w:val="hr-HR" w:eastAsia="en-GB"/>
        </w:rPr>
        <w:tab/>
      </w:r>
      <w:r w:rsidRPr="00E244C4">
        <w:rPr>
          <w:rFonts w:eastAsia="Times New Roman" w:cs="Times New Roman"/>
          <w:szCs w:val="20"/>
          <w:lang w:val="hr-HR" w:eastAsia="en-GB"/>
        </w:rPr>
        <w:t>koje se ne bi mogle prostorno ili vremenski ograničiti.</w:t>
      </w:r>
    </w:p>
    <w:p w:rsidR="00886C49" w:rsidRPr="00E244C4" w:rsidRDefault="00886C49" w:rsidP="00886C49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886C49">
      <w:pPr>
        <w:pStyle w:val="ListParagraph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Države članice </w:t>
      </w:r>
      <w:r w:rsidR="001E134E" w:rsidRPr="00E244C4">
        <w:rPr>
          <w:rFonts w:eastAsia="Times New Roman" w:cs="Times New Roman"/>
          <w:szCs w:val="20"/>
          <w:lang w:val="hr-HR" w:eastAsia="en-GB"/>
        </w:rPr>
        <w:t>osiguravaju</w:t>
      </w:r>
      <w:r w:rsidR="00476E37" w:rsidRPr="00E244C4">
        <w:rPr>
          <w:rFonts w:eastAsia="Times New Roman" w:cs="Times New Roman"/>
          <w:szCs w:val="20"/>
          <w:lang w:val="hr-HR" w:eastAsia="en-GB"/>
        </w:rPr>
        <w:t xml:space="preserve"> da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797EE0" w:rsidRPr="00E244C4">
        <w:rPr>
          <w:rFonts w:eastAsia="Times New Roman" w:cs="Times New Roman"/>
          <w:szCs w:val="20"/>
          <w:lang w:val="hr-HR" w:eastAsia="en-GB"/>
        </w:rPr>
        <w:t>državn</w:t>
      </w:r>
      <w:r w:rsidR="00476E37" w:rsidRPr="00E244C4">
        <w:rPr>
          <w:rFonts w:eastAsia="Times New Roman" w:cs="Times New Roman"/>
          <w:szCs w:val="20"/>
          <w:lang w:val="hr-HR" w:eastAsia="en-GB"/>
        </w:rPr>
        <w:t>i okvir propisuje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da se cilj iz stava 1.:</w:t>
      </w:r>
    </w:p>
    <w:p w:rsidR="00886C49" w:rsidRPr="00E244C4" w:rsidRDefault="00886C49" w:rsidP="00886C49">
      <w:pPr>
        <w:pStyle w:val="ListParagraph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886C49">
      <w:pPr>
        <w:pStyle w:val="ListParagraph"/>
        <w:numPr>
          <w:ilvl w:val="0"/>
          <w:numId w:val="24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primjenjuje na nuklearn</w:t>
      </w:r>
      <w:r w:rsidR="00A1098C" w:rsidRPr="00E244C4">
        <w:rPr>
          <w:rFonts w:eastAsia="Times New Roman" w:cs="Times New Roman"/>
          <w:szCs w:val="20"/>
          <w:lang w:val="hr-HR" w:eastAsia="en-GB"/>
        </w:rPr>
        <w:t>e objekte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za čiju je izgradnju </w:t>
      </w:r>
      <w:r w:rsidR="00660154" w:rsidRPr="00E244C4">
        <w:rPr>
          <w:rFonts w:eastAsia="Times New Roman" w:cs="Times New Roman"/>
          <w:szCs w:val="20"/>
          <w:lang w:val="hr-HR" w:eastAsia="en-GB"/>
        </w:rPr>
        <w:t>licenca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izda</w:t>
      </w:r>
      <w:r w:rsidR="00A1098C" w:rsidRPr="00E244C4">
        <w:rPr>
          <w:rFonts w:eastAsia="Times New Roman" w:cs="Times New Roman"/>
          <w:szCs w:val="20"/>
          <w:lang w:val="hr-HR" w:eastAsia="en-GB"/>
        </w:rPr>
        <w:t>t</w:t>
      </w:r>
      <w:r w:rsidRPr="00E244C4">
        <w:rPr>
          <w:rFonts w:eastAsia="Times New Roman" w:cs="Times New Roman"/>
          <w:szCs w:val="20"/>
          <w:lang w:val="hr-HR" w:eastAsia="en-GB"/>
        </w:rPr>
        <w:t xml:space="preserve">a prvi put </w:t>
      </w:r>
      <w:r w:rsidR="00A1098C" w:rsidRPr="00E244C4">
        <w:rPr>
          <w:rFonts w:eastAsia="Times New Roman" w:cs="Times New Roman"/>
          <w:szCs w:val="20"/>
          <w:lang w:val="hr-HR" w:eastAsia="en-GB"/>
        </w:rPr>
        <w:tab/>
      </w:r>
      <w:r w:rsidRPr="00E244C4">
        <w:rPr>
          <w:rFonts w:eastAsia="Times New Roman" w:cs="Times New Roman"/>
          <w:szCs w:val="20"/>
          <w:lang w:val="hr-HR" w:eastAsia="en-GB"/>
        </w:rPr>
        <w:t xml:space="preserve">nakon 14. </w:t>
      </w:r>
      <w:r w:rsidR="00315814" w:rsidRPr="00E244C4">
        <w:rPr>
          <w:rFonts w:eastAsia="Times New Roman" w:cs="Times New Roman"/>
          <w:szCs w:val="20"/>
          <w:lang w:val="hr-HR" w:eastAsia="en-GB"/>
        </w:rPr>
        <w:t>avgusta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2014.</w:t>
      </w:r>
      <w:r w:rsidR="00315814" w:rsidRPr="00E244C4">
        <w:rPr>
          <w:rFonts w:eastAsia="Times New Roman" w:cs="Times New Roman"/>
          <w:szCs w:val="20"/>
          <w:lang w:val="hr-HR" w:eastAsia="en-GB"/>
        </w:rPr>
        <w:t xml:space="preserve"> godine</w:t>
      </w:r>
      <w:r w:rsidRPr="00E244C4">
        <w:rPr>
          <w:rFonts w:eastAsia="Times New Roman" w:cs="Times New Roman"/>
          <w:szCs w:val="20"/>
          <w:lang w:val="hr-HR" w:eastAsia="en-GB"/>
        </w:rPr>
        <w:t>;</w:t>
      </w:r>
    </w:p>
    <w:p w:rsidR="00315814" w:rsidRPr="00E244C4" w:rsidRDefault="00315814" w:rsidP="00315814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886C49">
      <w:pPr>
        <w:pStyle w:val="ListParagraph"/>
        <w:numPr>
          <w:ilvl w:val="0"/>
          <w:numId w:val="24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upotrebljava kao referenca za </w:t>
      </w:r>
      <w:r w:rsidR="00476E37" w:rsidRPr="00E244C4">
        <w:rPr>
          <w:rFonts w:eastAsia="Times New Roman" w:cs="Times New Roman"/>
          <w:szCs w:val="20"/>
          <w:lang w:val="hr-HR" w:eastAsia="en-GB"/>
        </w:rPr>
        <w:t>blagovremenu implementaciju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razumno </w:t>
      </w:r>
      <w:r w:rsidR="00476E37" w:rsidRPr="00E244C4">
        <w:rPr>
          <w:rFonts w:eastAsia="Times New Roman" w:cs="Times New Roman"/>
          <w:szCs w:val="20"/>
          <w:lang w:val="hr-HR" w:eastAsia="en-GB"/>
        </w:rPr>
        <w:tab/>
        <w:t>izvodlj</w:t>
      </w:r>
      <w:r w:rsidR="00FF3892" w:rsidRPr="00E244C4">
        <w:rPr>
          <w:rFonts w:eastAsia="Times New Roman" w:cs="Times New Roman"/>
          <w:szCs w:val="20"/>
          <w:lang w:val="hr-HR" w:eastAsia="en-GB"/>
        </w:rPr>
        <w:t>i</w:t>
      </w:r>
      <w:r w:rsidR="00476E37" w:rsidRPr="00E244C4">
        <w:rPr>
          <w:rFonts w:eastAsia="Times New Roman" w:cs="Times New Roman"/>
          <w:szCs w:val="20"/>
          <w:lang w:val="hr-HR" w:eastAsia="en-GB"/>
        </w:rPr>
        <w:t>vih unapređenja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sigurnosti postojećih nuklearnih </w:t>
      </w:r>
      <w:r w:rsidR="000859CC" w:rsidRPr="00E244C4">
        <w:rPr>
          <w:rFonts w:eastAsia="Times New Roman" w:cs="Times New Roman"/>
          <w:szCs w:val="20"/>
          <w:lang w:val="hr-HR" w:eastAsia="en-GB"/>
        </w:rPr>
        <w:t>objekata</w:t>
      </w:r>
      <w:r w:rsidRPr="00E244C4">
        <w:rPr>
          <w:rFonts w:eastAsia="Times New Roman" w:cs="Times New Roman"/>
          <w:szCs w:val="20"/>
          <w:lang w:val="hr-HR" w:eastAsia="en-GB"/>
        </w:rPr>
        <w:t>, uključujući</w:t>
      </w:r>
      <w:r w:rsidR="00476E37" w:rsidRPr="00E244C4">
        <w:rPr>
          <w:rFonts w:eastAsia="Times New Roman" w:cs="Times New Roman"/>
          <w:szCs w:val="20"/>
          <w:lang w:val="hr-HR" w:eastAsia="en-GB"/>
        </w:rPr>
        <w:t xml:space="preserve"> i </w:t>
      </w:r>
      <w:r w:rsidR="00476E37" w:rsidRPr="00E244C4">
        <w:rPr>
          <w:rFonts w:eastAsia="Times New Roman" w:cs="Times New Roman"/>
          <w:szCs w:val="20"/>
          <w:lang w:val="hr-HR" w:eastAsia="en-GB"/>
        </w:rPr>
        <w:tab/>
        <w:t>one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u okviru periodičnih pregleda </w:t>
      </w:r>
      <w:r w:rsidR="00476E37" w:rsidRPr="00E244C4">
        <w:rPr>
          <w:rFonts w:eastAsia="Times New Roman" w:cs="Times New Roman"/>
          <w:szCs w:val="20"/>
          <w:lang w:val="hr-HR" w:eastAsia="en-GB"/>
        </w:rPr>
        <w:t>sigurnosti iz</w:t>
      </w:r>
      <w:r w:rsidRPr="00E244C4">
        <w:rPr>
          <w:rFonts w:eastAsia="Times New Roman" w:cs="Times New Roman"/>
          <w:szCs w:val="20"/>
          <w:lang w:val="hr-HR" w:eastAsia="en-GB"/>
        </w:rPr>
        <w:t xml:space="preserve"> član</w:t>
      </w:r>
      <w:r w:rsidR="00476E37" w:rsidRPr="00E244C4">
        <w:rPr>
          <w:rFonts w:eastAsia="Times New Roman" w:cs="Times New Roman"/>
          <w:szCs w:val="20"/>
          <w:lang w:val="hr-HR" w:eastAsia="en-GB"/>
        </w:rPr>
        <w:t>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8c t</w:t>
      </w:r>
      <w:r w:rsidR="00315814" w:rsidRPr="00E244C4">
        <w:rPr>
          <w:rFonts w:eastAsia="Times New Roman" w:cs="Times New Roman"/>
          <w:szCs w:val="20"/>
          <w:lang w:val="hr-HR" w:eastAsia="en-GB"/>
        </w:rPr>
        <w:t>a</w:t>
      </w:r>
      <w:r w:rsidRPr="00E244C4">
        <w:rPr>
          <w:rFonts w:eastAsia="Times New Roman" w:cs="Times New Roman"/>
          <w:szCs w:val="20"/>
          <w:lang w:val="hr-HR" w:eastAsia="en-GB"/>
        </w:rPr>
        <w:t>čk</w:t>
      </w:r>
      <w:r w:rsidR="00315814" w:rsidRPr="00E244C4">
        <w:rPr>
          <w:rFonts w:eastAsia="Times New Roman" w:cs="Times New Roman"/>
          <w:szCs w:val="20"/>
          <w:lang w:val="hr-HR" w:eastAsia="en-GB"/>
        </w:rPr>
        <w:t>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(b).</w:t>
      </w:r>
    </w:p>
    <w:p w:rsidR="00886C49" w:rsidRPr="00E244C4" w:rsidRDefault="00886C49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886C49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E244C4">
        <w:rPr>
          <w:rFonts w:eastAsia="Times New Roman" w:cs="Times New Roman"/>
          <w:b/>
          <w:szCs w:val="20"/>
          <w:lang w:val="hr-HR" w:eastAsia="en-GB"/>
        </w:rPr>
        <w:t>Član 8b</w:t>
      </w:r>
      <w:r w:rsidR="000E6EF1" w:rsidRPr="00E244C4">
        <w:rPr>
          <w:rFonts w:eastAsia="Times New Roman" w:cs="Times New Roman"/>
          <w:b/>
          <w:szCs w:val="20"/>
          <w:lang w:val="hr-HR" w:eastAsia="en-GB"/>
        </w:rPr>
        <w:t>.</w:t>
      </w:r>
    </w:p>
    <w:p w:rsidR="00371F52" w:rsidRPr="00E244C4" w:rsidRDefault="00667597" w:rsidP="00886C49">
      <w:pPr>
        <w:jc w:val="center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Ostvarivanje </w:t>
      </w:r>
      <w:r w:rsidR="00371F52" w:rsidRPr="00E244C4">
        <w:rPr>
          <w:rFonts w:eastAsia="Times New Roman" w:cs="Times New Roman"/>
          <w:szCs w:val="20"/>
          <w:lang w:val="hr-HR" w:eastAsia="en-GB"/>
        </w:rPr>
        <w:t>cilja nuklearne sigurnosti za nuklearn</w:t>
      </w:r>
      <w:r w:rsidR="000859CC" w:rsidRPr="00E244C4">
        <w:rPr>
          <w:rFonts w:eastAsia="Times New Roman" w:cs="Times New Roman"/>
          <w:szCs w:val="20"/>
          <w:lang w:val="hr-HR" w:eastAsia="en-GB"/>
        </w:rPr>
        <w:t>e objekte</w:t>
      </w:r>
    </w:p>
    <w:p w:rsidR="00886C49" w:rsidRPr="00E244C4" w:rsidRDefault="00886C49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606960" w:rsidP="00F7307F">
      <w:pPr>
        <w:pStyle w:val="ListParagraph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Da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bi se ostvario cilj nuklearne sigurnosti za nuklearn</w:t>
      </w:r>
      <w:r w:rsidR="000859CC" w:rsidRPr="00E244C4">
        <w:rPr>
          <w:rFonts w:eastAsia="Times New Roman" w:cs="Times New Roman"/>
          <w:szCs w:val="20"/>
          <w:lang w:val="hr-HR" w:eastAsia="en-GB"/>
        </w:rPr>
        <w:t>e objekte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određen u članu </w:t>
      </w:r>
      <w:r w:rsidR="00476E37"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8a, države članice </w:t>
      </w:r>
      <w:r w:rsidR="001E134E" w:rsidRPr="00E244C4">
        <w:rPr>
          <w:rFonts w:eastAsia="Times New Roman" w:cs="Times New Roman"/>
          <w:szCs w:val="20"/>
          <w:lang w:val="hr-HR" w:eastAsia="en-GB"/>
        </w:rPr>
        <w:t>osiguravaju d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a </w:t>
      </w:r>
      <w:r w:rsidR="00476E37" w:rsidRPr="00E244C4">
        <w:rPr>
          <w:rFonts w:eastAsia="Times New Roman" w:cs="Times New Roman"/>
          <w:szCs w:val="20"/>
          <w:lang w:val="hr-HR" w:eastAsia="en-GB"/>
        </w:rPr>
        <w:t>državni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okvir</w:t>
      </w:r>
      <w:r w:rsidR="00476E37" w:rsidRPr="00E244C4">
        <w:rPr>
          <w:rFonts w:eastAsia="Times New Roman" w:cs="Times New Roman"/>
          <w:szCs w:val="20"/>
          <w:lang w:val="hr-HR" w:eastAsia="en-GB"/>
        </w:rPr>
        <w:t xml:space="preserve"> propisuje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da se, kada se primjenjuje o</w:t>
      </w:r>
      <w:r w:rsidR="006A4BA5" w:rsidRPr="00E244C4">
        <w:rPr>
          <w:rFonts w:eastAsia="Times New Roman" w:cs="Times New Roman"/>
          <w:szCs w:val="20"/>
          <w:lang w:val="hr-HR" w:eastAsia="en-GB"/>
        </w:rPr>
        <w:t>d</w:t>
      </w:r>
      <w:r w:rsidR="00371F52" w:rsidRPr="00E244C4">
        <w:rPr>
          <w:rFonts w:eastAsia="Times New Roman" w:cs="Times New Roman"/>
          <w:szCs w:val="20"/>
          <w:lang w:val="hr-HR" w:eastAsia="en-GB"/>
        </w:rPr>
        <w:t>brana</w:t>
      </w:r>
      <w:r w:rsidR="006A4BA5" w:rsidRPr="00E244C4">
        <w:rPr>
          <w:rFonts w:eastAsia="Times New Roman" w:cs="Times New Roman"/>
          <w:szCs w:val="20"/>
          <w:lang w:val="hr-HR" w:eastAsia="en-GB"/>
        </w:rPr>
        <w:t xml:space="preserve"> po dubini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, ona primjenjuje </w:t>
      </w:r>
      <w:r w:rsidR="00000438" w:rsidRPr="00E244C4">
        <w:rPr>
          <w:rFonts w:eastAsia="Times New Roman" w:cs="Times New Roman"/>
          <w:szCs w:val="20"/>
          <w:lang w:val="hr-HR" w:eastAsia="en-GB"/>
        </w:rPr>
        <w:t>u cilju osiguranja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da:</w:t>
      </w:r>
    </w:p>
    <w:p w:rsidR="006A4BA5" w:rsidRPr="00E244C4" w:rsidRDefault="006A4BA5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F7307F" w:rsidP="006A4BA5">
      <w:pPr>
        <w:pStyle w:val="ListParagraph"/>
        <w:numPr>
          <w:ilvl w:val="0"/>
          <w:numId w:val="25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se uti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caj ekstremnih vanjskih prirodnih opasnosti i opasnosti nenamjerno </w:t>
      </w:r>
      <w:r w:rsidR="006A4BA5"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uzrokovanih ljudskim faktorom svede na </w:t>
      </w:r>
      <w:r w:rsidR="00176C2A" w:rsidRPr="00E244C4">
        <w:rPr>
          <w:rFonts w:eastAsia="Times New Roman" w:cs="Times New Roman"/>
          <w:szCs w:val="20"/>
          <w:lang w:val="hr-HR" w:eastAsia="en-GB"/>
        </w:rPr>
        <w:t>minimum</w:t>
      </w:r>
      <w:r w:rsidR="00371F52" w:rsidRPr="00E244C4">
        <w:rPr>
          <w:rFonts w:eastAsia="Times New Roman" w:cs="Times New Roman"/>
          <w:szCs w:val="20"/>
          <w:lang w:val="hr-HR" w:eastAsia="en-GB"/>
        </w:rPr>
        <w:t>;</w:t>
      </w:r>
    </w:p>
    <w:p w:rsidR="006A4BA5" w:rsidRPr="00E244C4" w:rsidRDefault="006A4BA5" w:rsidP="006A4BA5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6A4BA5">
      <w:pPr>
        <w:pStyle w:val="ListParagraph"/>
        <w:numPr>
          <w:ilvl w:val="0"/>
          <w:numId w:val="25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se spriječ</w:t>
      </w:r>
      <w:r w:rsidR="00176C2A" w:rsidRPr="00E244C4">
        <w:rPr>
          <w:rFonts w:eastAsia="Times New Roman" w:cs="Times New Roman"/>
          <w:szCs w:val="20"/>
          <w:lang w:val="hr-HR" w:eastAsia="en-GB"/>
        </w:rPr>
        <w:t>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CD6778" w:rsidRPr="00E244C4">
        <w:rPr>
          <w:rFonts w:eastAsia="Times New Roman" w:cs="Times New Roman"/>
          <w:szCs w:val="20"/>
          <w:lang w:val="hr-HR" w:eastAsia="en-GB"/>
        </w:rPr>
        <w:t>predviđena operativna odstupanja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 kvarov</w:t>
      </w:r>
      <w:r w:rsidR="00176C2A" w:rsidRPr="00E244C4">
        <w:rPr>
          <w:rFonts w:eastAsia="Times New Roman" w:cs="Times New Roman"/>
          <w:szCs w:val="20"/>
          <w:lang w:val="hr-HR" w:eastAsia="en-GB"/>
        </w:rPr>
        <w:t>i</w:t>
      </w:r>
      <w:r w:rsidRPr="00E244C4">
        <w:rPr>
          <w:rFonts w:eastAsia="Times New Roman" w:cs="Times New Roman"/>
          <w:szCs w:val="20"/>
          <w:lang w:val="hr-HR" w:eastAsia="en-GB"/>
        </w:rPr>
        <w:t>;</w:t>
      </w:r>
    </w:p>
    <w:p w:rsidR="006A4BA5" w:rsidRPr="00E244C4" w:rsidRDefault="006A4BA5" w:rsidP="006A4BA5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6A4BA5" w:rsidP="006A4BA5">
      <w:pPr>
        <w:pStyle w:val="ListParagraph"/>
        <w:numPr>
          <w:ilvl w:val="0"/>
          <w:numId w:val="25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>se pod kontrolu stav</w:t>
      </w:r>
      <w:r w:rsidR="00CD6778" w:rsidRPr="00E244C4">
        <w:rPr>
          <w:rFonts w:eastAsia="Times New Roman" w:cs="Times New Roman"/>
          <w:szCs w:val="20"/>
          <w:lang w:val="hr-HR" w:eastAsia="en-GB"/>
        </w:rPr>
        <w:t>e predviđena operativna odstupanja</w:t>
      </w:r>
      <w:r w:rsidR="00000438" w:rsidRPr="00E244C4">
        <w:rPr>
          <w:rFonts w:eastAsia="Times New Roman" w:cs="Times New Roman"/>
          <w:szCs w:val="20"/>
          <w:lang w:val="hr-HR" w:eastAsia="en-GB"/>
        </w:rPr>
        <w:t>, a kvarovi otkriju;</w:t>
      </w:r>
    </w:p>
    <w:p w:rsidR="006A4BA5" w:rsidRPr="00E244C4" w:rsidRDefault="006A4BA5" w:rsidP="006A4BA5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6A4BA5">
      <w:pPr>
        <w:pStyle w:val="ListParagraph"/>
        <w:numPr>
          <w:ilvl w:val="0"/>
          <w:numId w:val="25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se pod kontrolu stave </w:t>
      </w:r>
      <w:r w:rsidR="008D43CD" w:rsidRPr="00E244C4">
        <w:rPr>
          <w:rFonts w:eastAsia="Times New Roman" w:cs="Times New Roman"/>
          <w:szCs w:val="20"/>
          <w:lang w:val="hr-HR" w:eastAsia="en-GB"/>
        </w:rPr>
        <w:t xml:space="preserve">akcidenti </w:t>
      </w:r>
      <w:r w:rsidRPr="00E244C4">
        <w:rPr>
          <w:rFonts w:eastAsia="Times New Roman" w:cs="Times New Roman"/>
          <w:szCs w:val="20"/>
          <w:lang w:val="hr-HR" w:eastAsia="en-GB"/>
        </w:rPr>
        <w:t>predviđeni</w:t>
      </w:r>
      <w:r w:rsidR="001804E6" w:rsidRPr="00E244C4">
        <w:rPr>
          <w:rFonts w:eastAsia="Times New Roman" w:cs="Times New Roman"/>
          <w:szCs w:val="20"/>
          <w:lang w:val="hr-HR" w:eastAsia="en-GB"/>
        </w:rPr>
        <w:t xml:space="preserve"> projektom</w:t>
      </w:r>
      <w:r w:rsidRPr="00E244C4">
        <w:rPr>
          <w:rFonts w:eastAsia="Times New Roman" w:cs="Times New Roman"/>
          <w:szCs w:val="20"/>
          <w:lang w:val="hr-HR" w:eastAsia="en-GB"/>
        </w:rPr>
        <w:t>;</w:t>
      </w:r>
    </w:p>
    <w:p w:rsidR="006A4BA5" w:rsidRPr="00E244C4" w:rsidRDefault="006A4BA5" w:rsidP="006A4BA5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6A4BA5">
      <w:pPr>
        <w:pStyle w:val="ListParagraph"/>
        <w:numPr>
          <w:ilvl w:val="0"/>
          <w:numId w:val="25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se pod kontrolu stave </w:t>
      </w:r>
      <w:r w:rsidR="008D43CD" w:rsidRPr="00E244C4">
        <w:rPr>
          <w:rFonts w:eastAsia="Times New Roman" w:cs="Times New Roman"/>
          <w:szCs w:val="20"/>
          <w:lang w:val="hr-HR" w:eastAsia="en-GB"/>
        </w:rPr>
        <w:t xml:space="preserve">ozbiljni </w:t>
      </w:r>
      <w:r w:rsidR="00383FAF" w:rsidRPr="00E244C4">
        <w:rPr>
          <w:rFonts w:eastAsia="Times New Roman" w:cs="Times New Roman"/>
          <w:szCs w:val="20"/>
          <w:lang w:val="hr-HR" w:eastAsia="en-GB"/>
        </w:rPr>
        <w:t>uslov</w:t>
      </w:r>
      <w:r w:rsidRPr="00E244C4">
        <w:rPr>
          <w:rFonts w:eastAsia="Times New Roman" w:cs="Times New Roman"/>
          <w:szCs w:val="20"/>
          <w:lang w:val="hr-HR" w:eastAsia="en-GB"/>
        </w:rPr>
        <w:t xml:space="preserve">i, uključujući sprečavanje daljeg razvoja </w:t>
      </w:r>
      <w:r w:rsidR="00A1098C" w:rsidRPr="00E244C4">
        <w:rPr>
          <w:rFonts w:eastAsia="Times New Roman" w:cs="Times New Roman"/>
          <w:szCs w:val="20"/>
          <w:lang w:val="hr-HR" w:eastAsia="en-GB"/>
        </w:rPr>
        <w:tab/>
        <w:t>akcidenata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 ublažavanje posljedica teških </w:t>
      </w:r>
      <w:r w:rsidR="00811574" w:rsidRPr="00E244C4">
        <w:rPr>
          <w:rFonts w:eastAsia="Times New Roman" w:cs="Times New Roman"/>
          <w:szCs w:val="20"/>
          <w:lang w:val="hr-HR" w:eastAsia="en-GB"/>
        </w:rPr>
        <w:t>akcidenata</w:t>
      </w:r>
      <w:r w:rsidRPr="00E244C4">
        <w:rPr>
          <w:rFonts w:eastAsia="Times New Roman" w:cs="Times New Roman"/>
          <w:szCs w:val="20"/>
          <w:lang w:val="hr-HR" w:eastAsia="en-GB"/>
        </w:rPr>
        <w:t>;</w:t>
      </w:r>
    </w:p>
    <w:p w:rsidR="006A4BA5" w:rsidRPr="00E244C4" w:rsidRDefault="006A4BA5" w:rsidP="006A4BA5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6A4BA5" w:rsidP="006A4BA5">
      <w:pPr>
        <w:pStyle w:val="ListParagraph"/>
        <w:numPr>
          <w:ilvl w:val="0"/>
          <w:numId w:val="25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>budu uspostavljene organizaci</w:t>
      </w:r>
      <w:r w:rsidR="00811574" w:rsidRPr="00E244C4">
        <w:rPr>
          <w:rFonts w:eastAsia="Times New Roman" w:cs="Times New Roman"/>
          <w:szCs w:val="20"/>
          <w:lang w:val="hr-HR" w:eastAsia="en-GB"/>
        </w:rPr>
        <w:t>one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strukture u skladu s</w:t>
      </w:r>
      <w:r w:rsidRPr="00E244C4">
        <w:rPr>
          <w:rFonts w:eastAsia="Times New Roman" w:cs="Times New Roman"/>
          <w:szCs w:val="20"/>
          <w:lang w:val="hr-HR" w:eastAsia="en-GB"/>
        </w:rPr>
        <w:t>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članom 8d stav 1.</w:t>
      </w:r>
    </w:p>
    <w:p w:rsidR="006A4BA5" w:rsidRPr="00E244C4" w:rsidRDefault="006A4BA5" w:rsidP="006A4BA5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606960" w:rsidP="00F7307F">
      <w:pPr>
        <w:pStyle w:val="ListParagraph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Da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bi se ostvario cilj nuklearne sigurnosti određen u članu 8a, države članice </w:t>
      </w:r>
      <w:r w:rsidR="001E134E" w:rsidRPr="00E244C4">
        <w:rPr>
          <w:rFonts w:eastAsia="Times New Roman" w:cs="Times New Roman"/>
          <w:szCs w:val="20"/>
          <w:lang w:val="hr-HR" w:eastAsia="en-GB"/>
        </w:rPr>
        <w:t>osiguravaju</w:t>
      </w:r>
      <w:r w:rsidR="00CD6778" w:rsidRPr="00E244C4">
        <w:rPr>
          <w:rFonts w:eastAsia="Times New Roman" w:cs="Times New Roman"/>
          <w:szCs w:val="20"/>
          <w:lang w:val="hr-HR" w:eastAsia="en-GB"/>
        </w:rPr>
        <w:t xml:space="preserve"> da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797EE0" w:rsidRPr="00E244C4">
        <w:rPr>
          <w:rFonts w:eastAsia="Times New Roman" w:cs="Times New Roman"/>
          <w:szCs w:val="20"/>
          <w:lang w:val="hr-HR" w:eastAsia="en-GB"/>
        </w:rPr>
        <w:t>državn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i okvir </w:t>
      </w:r>
      <w:r w:rsidR="00CD6778" w:rsidRPr="00E244C4">
        <w:rPr>
          <w:rFonts w:eastAsia="Times New Roman" w:cs="Times New Roman"/>
          <w:szCs w:val="20"/>
          <w:lang w:val="hr-HR" w:eastAsia="en-GB"/>
        </w:rPr>
        <w:t>propisuje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da nadležn</w:t>
      </w:r>
      <w:r w:rsidR="009E424D" w:rsidRPr="00E244C4">
        <w:rPr>
          <w:rFonts w:eastAsia="Times New Roman" w:cs="Times New Roman"/>
          <w:szCs w:val="20"/>
          <w:lang w:val="hr-HR" w:eastAsia="en-GB"/>
        </w:rPr>
        <w:t>i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regulatorn</w:t>
      </w:r>
      <w:r w:rsidR="009E424D" w:rsidRPr="00E244C4">
        <w:rPr>
          <w:rFonts w:eastAsia="Times New Roman" w:cs="Times New Roman"/>
          <w:szCs w:val="20"/>
          <w:lang w:val="hr-HR" w:eastAsia="en-GB"/>
        </w:rPr>
        <w:t>i organ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i </w:t>
      </w:r>
      <w:r w:rsidR="00CD6778" w:rsidRPr="00E244C4">
        <w:rPr>
          <w:rFonts w:eastAsia="Times New Roman" w:cs="Times New Roman"/>
          <w:szCs w:val="20"/>
          <w:lang w:val="hr-HR" w:eastAsia="en-GB"/>
        </w:rPr>
        <w:t>vlasnik licence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poduzimaju mjere za p</w:t>
      </w:r>
      <w:r w:rsidR="00CD6778" w:rsidRPr="00E244C4">
        <w:rPr>
          <w:rFonts w:eastAsia="Times New Roman" w:cs="Times New Roman"/>
          <w:szCs w:val="20"/>
          <w:lang w:val="hr-HR" w:eastAsia="en-GB"/>
        </w:rPr>
        <w:t xml:space="preserve">odsticanje 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i jačanje </w:t>
      </w:r>
      <w:r w:rsidR="009E424D" w:rsidRPr="00E244C4">
        <w:rPr>
          <w:rFonts w:eastAsia="Times New Roman" w:cs="Times New Roman"/>
          <w:szCs w:val="20"/>
          <w:lang w:val="hr-HR" w:eastAsia="en-GB"/>
        </w:rPr>
        <w:t>efikasne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kulture nuklearne sigurnosti. Te mjere posebno uključuju:</w:t>
      </w:r>
    </w:p>
    <w:p w:rsidR="00F7307F" w:rsidRPr="00E244C4" w:rsidRDefault="00F7307F" w:rsidP="00F7307F">
      <w:pPr>
        <w:pStyle w:val="ListParagraph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9F4DBB" w:rsidP="00D8765A">
      <w:pPr>
        <w:pStyle w:val="ListParagraph"/>
        <w:numPr>
          <w:ilvl w:val="0"/>
          <w:numId w:val="27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sisteme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upravljanja koj</w:t>
      </w:r>
      <w:r w:rsidR="00606960" w:rsidRPr="00E244C4">
        <w:rPr>
          <w:rFonts w:eastAsia="Times New Roman" w:cs="Times New Roman"/>
          <w:szCs w:val="20"/>
          <w:lang w:val="hr-HR" w:eastAsia="en-GB"/>
        </w:rPr>
        <w:t>i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daju </w:t>
      </w:r>
      <w:r w:rsidR="00CD6778" w:rsidRPr="00E244C4">
        <w:rPr>
          <w:rFonts w:eastAsia="Times New Roman" w:cs="Times New Roman"/>
          <w:szCs w:val="20"/>
          <w:lang w:val="hr-HR" w:eastAsia="en-GB"/>
        </w:rPr>
        <w:t>poseban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prioritet nuklearnoj sigurnosti i p</w:t>
      </w:r>
      <w:r w:rsidR="00CD6778" w:rsidRPr="00E244C4">
        <w:rPr>
          <w:rFonts w:eastAsia="Times New Roman" w:cs="Times New Roman"/>
          <w:szCs w:val="20"/>
          <w:lang w:val="hr-HR" w:eastAsia="en-GB"/>
        </w:rPr>
        <w:t>odstiču</w:t>
      </w:r>
      <w:r w:rsidR="00D8765A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606960"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sposobnost preispitivanja </w:t>
      </w:r>
      <w:r w:rsidRPr="00E244C4">
        <w:rPr>
          <w:rFonts w:eastAsia="Times New Roman" w:cs="Times New Roman"/>
          <w:szCs w:val="20"/>
          <w:lang w:val="hr-HR" w:eastAsia="en-GB"/>
        </w:rPr>
        <w:t>efikasnog</w:t>
      </w:r>
      <w:r w:rsidR="00CD6778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Pr="00E244C4">
        <w:rPr>
          <w:rFonts w:eastAsia="Times New Roman" w:cs="Times New Roman"/>
          <w:szCs w:val="20"/>
          <w:lang w:val="hr-HR" w:eastAsia="en-GB"/>
        </w:rPr>
        <w:t>provođenja</w:t>
      </w:r>
      <w:r w:rsidR="00CD6778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odgovarajućih sigurnosnih </w:t>
      </w:r>
      <w:r w:rsidR="00606960" w:rsidRPr="00E244C4">
        <w:rPr>
          <w:rFonts w:eastAsia="Times New Roman" w:cs="Times New Roman"/>
          <w:szCs w:val="20"/>
          <w:lang w:val="hr-HR" w:eastAsia="en-GB"/>
        </w:rPr>
        <w:tab/>
      </w:r>
      <w:r w:rsidRPr="00E244C4">
        <w:rPr>
          <w:rFonts w:eastAsia="Times New Roman" w:cs="Times New Roman"/>
          <w:szCs w:val="20"/>
          <w:lang w:val="hr-HR" w:eastAsia="en-GB"/>
        </w:rPr>
        <w:t>principa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i prakse</w:t>
      </w:r>
      <w:r w:rsidR="00606960" w:rsidRPr="00E244C4">
        <w:rPr>
          <w:rFonts w:eastAsia="Times New Roman" w:cs="Times New Roman"/>
          <w:szCs w:val="20"/>
          <w:lang w:val="hr-HR" w:eastAsia="en-GB"/>
        </w:rPr>
        <w:t xml:space="preserve"> na svim nivoima zaposlenih i rukovodstva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te</w:t>
      </w:r>
      <w:r w:rsidR="00CD6778" w:rsidRPr="00E244C4">
        <w:rPr>
          <w:rFonts w:eastAsia="Times New Roman" w:cs="Times New Roman"/>
          <w:szCs w:val="20"/>
          <w:lang w:val="hr-HR" w:eastAsia="en-GB"/>
        </w:rPr>
        <w:t xml:space="preserve"> blago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vremeno </w:t>
      </w:r>
      <w:r w:rsidR="00CD6778"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>izvješ</w:t>
      </w:r>
      <w:r w:rsidR="00CD6778" w:rsidRPr="00E244C4">
        <w:rPr>
          <w:rFonts w:eastAsia="Times New Roman" w:cs="Times New Roman"/>
          <w:szCs w:val="20"/>
          <w:lang w:val="hr-HR" w:eastAsia="en-GB"/>
        </w:rPr>
        <w:t>ta</w:t>
      </w:r>
      <w:r w:rsidR="00371F52" w:rsidRPr="00E244C4">
        <w:rPr>
          <w:rFonts w:eastAsia="Times New Roman" w:cs="Times New Roman"/>
          <w:szCs w:val="20"/>
          <w:lang w:val="hr-HR" w:eastAsia="en-GB"/>
        </w:rPr>
        <w:t>vanj</w:t>
      </w:r>
      <w:r w:rsidR="00606960" w:rsidRPr="00E244C4">
        <w:rPr>
          <w:rFonts w:eastAsia="Times New Roman" w:cs="Times New Roman"/>
          <w:szCs w:val="20"/>
          <w:lang w:val="hr-HR" w:eastAsia="en-GB"/>
        </w:rPr>
        <w:t>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o sigurnosnim pitanjima u skladu s</w:t>
      </w:r>
      <w:r w:rsidRPr="00E244C4">
        <w:rPr>
          <w:rFonts w:eastAsia="Times New Roman" w:cs="Times New Roman"/>
          <w:szCs w:val="20"/>
          <w:lang w:val="hr-HR" w:eastAsia="en-GB"/>
        </w:rPr>
        <w:t>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članom 6 stav (d);</w:t>
      </w:r>
    </w:p>
    <w:p w:rsidR="00F7307F" w:rsidRPr="00E244C4" w:rsidRDefault="00F7307F" w:rsidP="00F7307F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F7307F">
      <w:pPr>
        <w:pStyle w:val="ListParagraph"/>
        <w:numPr>
          <w:ilvl w:val="0"/>
          <w:numId w:val="27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mehaniz</w:t>
      </w:r>
      <w:r w:rsidR="000E1605" w:rsidRPr="00E244C4">
        <w:rPr>
          <w:rFonts w:eastAsia="Times New Roman" w:cs="Times New Roman"/>
          <w:szCs w:val="20"/>
          <w:lang w:val="hr-HR" w:eastAsia="en-GB"/>
        </w:rPr>
        <w:t xml:space="preserve">me </w:t>
      </w:r>
      <w:r w:rsidR="00CD6778" w:rsidRPr="00E244C4">
        <w:rPr>
          <w:rFonts w:eastAsia="Times New Roman" w:cs="Times New Roman"/>
          <w:szCs w:val="20"/>
          <w:lang w:val="hr-HR" w:eastAsia="en-GB"/>
        </w:rPr>
        <w:t>vlasnika licence</w:t>
      </w:r>
      <w:r w:rsidR="000E1605" w:rsidRPr="00E244C4">
        <w:rPr>
          <w:rFonts w:eastAsia="Times New Roman" w:cs="Times New Roman"/>
          <w:szCs w:val="20"/>
          <w:lang w:val="hr-HR" w:eastAsia="en-GB"/>
        </w:rPr>
        <w:t xml:space="preserve"> za </w:t>
      </w:r>
      <w:r w:rsidR="00CD6778" w:rsidRPr="00E244C4">
        <w:rPr>
          <w:rFonts w:eastAsia="Times New Roman" w:cs="Times New Roman"/>
          <w:szCs w:val="20"/>
          <w:lang w:val="hr-HR" w:eastAsia="en-GB"/>
        </w:rPr>
        <w:t>evidentiranje</w:t>
      </w:r>
      <w:r w:rsidRPr="00E244C4">
        <w:rPr>
          <w:rFonts w:eastAsia="Times New Roman" w:cs="Times New Roman"/>
          <w:szCs w:val="20"/>
          <w:lang w:val="hr-HR" w:eastAsia="en-GB"/>
        </w:rPr>
        <w:t>, evaluaciju i dokument</w:t>
      </w:r>
      <w:r w:rsidR="00CD6778" w:rsidRPr="00E244C4">
        <w:rPr>
          <w:rFonts w:eastAsia="Times New Roman" w:cs="Times New Roman"/>
          <w:szCs w:val="20"/>
          <w:lang w:val="hr-HR" w:eastAsia="en-GB"/>
        </w:rPr>
        <w:t>ov</w:t>
      </w:r>
      <w:r w:rsidRPr="00E244C4">
        <w:rPr>
          <w:rFonts w:eastAsia="Times New Roman" w:cs="Times New Roman"/>
          <w:szCs w:val="20"/>
          <w:lang w:val="hr-HR" w:eastAsia="en-GB"/>
        </w:rPr>
        <w:t xml:space="preserve">anje </w:t>
      </w:r>
      <w:r w:rsidR="00F7307F" w:rsidRPr="00E244C4">
        <w:rPr>
          <w:rFonts w:eastAsia="Times New Roman" w:cs="Times New Roman"/>
          <w:szCs w:val="20"/>
          <w:lang w:val="hr-HR" w:eastAsia="en-GB"/>
        </w:rPr>
        <w:tab/>
      </w:r>
      <w:r w:rsidR="00D8765A" w:rsidRPr="00E244C4">
        <w:rPr>
          <w:rFonts w:eastAsia="Times New Roman" w:cs="Times New Roman"/>
          <w:szCs w:val="20"/>
          <w:lang w:val="hr-HR" w:eastAsia="en-GB"/>
        </w:rPr>
        <w:t>operativnog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iskustva značajnog za unutr</w:t>
      </w:r>
      <w:r w:rsidR="0089053B" w:rsidRPr="00E244C4">
        <w:rPr>
          <w:rFonts w:eastAsia="Times New Roman" w:cs="Times New Roman"/>
          <w:szCs w:val="20"/>
          <w:lang w:val="hr-HR" w:eastAsia="en-GB"/>
        </w:rPr>
        <w:t>aš</w:t>
      </w:r>
      <w:r w:rsidRPr="00E244C4">
        <w:rPr>
          <w:rFonts w:eastAsia="Times New Roman" w:cs="Times New Roman"/>
          <w:szCs w:val="20"/>
          <w:lang w:val="hr-HR" w:eastAsia="en-GB"/>
        </w:rPr>
        <w:t>nju i vanjsku sigurnost;</w:t>
      </w:r>
    </w:p>
    <w:p w:rsidR="00F7307F" w:rsidRPr="00E244C4" w:rsidRDefault="00F7307F" w:rsidP="00F7307F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F7307F" w:rsidP="00D8765A">
      <w:pPr>
        <w:pStyle w:val="ListParagraph"/>
        <w:numPr>
          <w:ilvl w:val="0"/>
          <w:numId w:val="27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>ob</w:t>
      </w:r>
      <w:r w:rsidRPr="00E244C4">
        <w:rPr>
          <w:rFonts w:eastAsia="Times New Roman" w:cs="Times New Roman"/>
          <w:szCs w:val="20"/>
          <w:lang w:val="hr-HR" w:eastAsia="en-GB"/>
        </w:rPr>
        <w:t xml:space="preserve">avezu </w:t>
      </w:r>
      <w:r w:rsidR="00D8765A" w:rsidRPr="00E244C4">
        <w:rPr>
          <w:rFonts w:eastAsia="Times New Roman" w:cs="Times New Roman"/>
          <w:szCs w:val="20"/>
          <w:lang w:val="hr-HR" w:eastAsia="en-GB"/>
        </w:rPr>
        <w:t>vlasnika licence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da nadležnom regulatornom </w:t>
      </w:r>
      <w:r w:rsidRPr="00E244C4">
        <w:rPr>
          <w:rFonts w:eastAsia="Times New Roman" w:cs="Times New Roman"/>
          <w:szCs w:val="20"/>
          <w:lang w:val="hr-HR" w:eastAsia="en-GB"/>
        </w:rPr>
        <w:t>organu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prijavi</w:t>
      </w:r>
      <w:r w:rsidR="00D8765A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371F52" w:rsidRPr="00E244C4">
        <w:rPr>
          <w:rFonts w:eastAsia="Times New Roman" w:cs="Times New Roman"/>
          <w:szCs w:val="20"/>
          <w:lang w:val="hr-HR" w:eastAsia="en-GB"/>
        </w:rPr>
        <w:t>događaje</w:t>
      </w:r>
      <w:r w:rsidR="00D8765A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D8765A" w:rsidRPr="00E244C4">
        <w:rPr>
          <w:rFonts w:eastAsia="Times New Roman" w:cs="Times New Roman"/>
          <w:szCs w:val="20"/>
          <w:lang w:val="hr-HR" w:eastAsia="en-GB"/>
        </w:rPr>
        <w:tab/>
      </w:r>
      <w:r w:rsidR="00371F52" w:rsidRPr="00E244C4">
        <w:rPr>
          <w:rFonts w:eastAsia="Times New Roman" w:cs="Times New Roman"/>
          <w:szCs w:val="20"/>
          <w:lang w:val="hr-HR" w:eastAsia="en-GB"/>
        </w:rPr>
        <w:t>koji bi mogli ut</w:t>
      </w:r>
      <w:r w:rsidRPr="00E244C4">
        <w:rPr>
          <w:rFonts w:eastAsia="Times New Roman" w:cs="Times New Roman"/>
          <w:szCs w:val="20"/>
          <w:lang w:val="hr-HR" w:eastAsia="en-GB"/>
        </w:rPr>
        <w:t>i</w:t>
      </w:r>
      <w:r w:rsidR="00371F52" w:rsidRPr="00E244C4">
        <w:rPr>
          <w:rFonts w:eastAsia="Times New Roman" w:cs="Times New Roman"/>
          <w:szCs w:val="20"/>
          <w:lang w:val="hr-HR" w:eastAsia="en-GB"/>
        </w:rPr>
        <w:t>cati na nuklearnu sigurnost; i,</w:t>
      </w:r>
    </w:p>
    <w:p w:rsidR="00F7307F" w:rsidRPr="00E244C4" w:rsidRDefault="00F7307F" w:rsidP="00F7307F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F7307F">
      <w:pPr>
        <w:pStyle w:val="ListParagraph"/>
        <w:numPr>
          <w:ilvl w:val="0"/>
          <w:numId w:val="27"/>
        </w:numPr>
        <w:tabs>
          <w:tab w:val="left" w:pos="851"/>
        </w:tabs>
        <w:ind w:hanging="294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mehanizme za obrazovanje i o</w:t>
      </w:r>
      <w:r w:rsidR="00D8765A" w:rsidRPr="00E244C4">
        <w:rPr>
          <w:rFonts w:eastAsia="Times New Roman" w:cs="Times New Roman"/>
          <w:szCs w:val="20"/>
          <w:lang w:val="hr-HR" w:eastAsia="en-GB"/>
        </w:rPr>
        <w:t>buku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u skladu s</w:t>
      </w:r>
      <w:r w:rsidR="00F7307F" w:rsidRPr="00E244C4">
        <w:rPr>
          <w:rFonts w:eastAsia="Times New Roman" w:cs="Times New Roman"/>
          <w:szCs w:val="20"/>
          <w:lang w:val="hr-HR" w:eastAsia="en-GB"/>
        </w:rPr>
        <w:t>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članom 7.</w:t>
      </w:r>
    </w:p>
    <w:p w:rsidR="00F7307F" w:rsidRPr="00E244C4" w:rsidRDefault="00F7307F" w:rsidP="00F7307F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F7307F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E244C4">
        <w:rPr>
          <w:rFonts w:eastAsia="Times New Roman" w:cs="Times New Roman"/>
          <w:b/>
          <w:szCs w:val="20"/>
          <w:lang w:val="hr-HR" w:eastAsia="en-GB"/>
        </w:rPr>
        <w:t>Član 8c</w:t>
      </w:r>
      <w:r w:rsidR="000E6EF1" w:rsidRPr="00E244C4">
        <w:rPr>
          <w:rFonts w:eastAsia="Times New Roman" w:cs="Times New Roman"/>
          <w:b/>
          <w:szCs w:val="20"/>
          <w:lang w:val="hr-HR" w:eastAsia="en-GB"/>
        </w:rPr>
        <w:t>.</w:t>
      </w:r>
    </w:p>
    <w:p w:rsidR="00371F52" w:rsidRPr="00E244C4" w:rsidRDefault="00371F52" w:rsidP="00F7307F">
      <w:pPr>
        <w:jc w:val="center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P</w:t>
      </w:r>
      <w:r w:rsidR="00BB74E4" w:rsidRPr="00E244C4">
        <w:rPr>
          <w:rFonts w:eastAsia="Times New Roman" w:cs="Times New Roman"/>
          <w:szCs w:val="20"/>
          <w:lang w:val="hr-HR" w:eastAsia="en-GB"/>
        </w:rPr>
        <w:t>očetna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procjena i periodični pregledi</w:t>
      </w:r>
      <w:r w:rsidR="00BB74E4" w:rsidRPr="00E244C4">
        <w:rPr>
          <w:rFonts w:eastAsia="Times New Roman" w:cs="Times New Roman"/>
          <w:szCs w:val="20"/>
          <w:lang w:val="hr-HR" w:eastAsia="en-GB"/>
        </w:rPr>
        <w:t xml:space="preserve"> sigurnosti</w:t>
      </w:r>
    </w:p>
    <w:p w:rsidR="00F7307F" w:rsidRPr="00E244C4" w:rsidRDefault="00F7307F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5270DE">
      <w:pPr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Države članice </w:t>
      </w:r>
      <w:r w:rsidR="001E134E" w:rsidRPr="00E244C4">
        <w:rPr>
          <w:rFonts w:eastAsia="Times New Roman" w:cs="Times New Roman"/>
          <w:szCs w:val="20"/>
          <w:lang w:val="hr-HR" w:eastAsia="en-GB"/>
        </w:rPr>
        <w:t>osiguravaju</w:t>
      </w:r>
      <w:r w:rsidR="00BB74E4" w:rsidRPr="00E244C4">
        <w:rPr>
          <w:rFonts w:eastAsia="Times New Roman" w:cs="Times New Roman"/>
          <w:szCs w:val="20"/>
          <w:lang w:val="hr-HR" w:eastAsia="en-GB"/>
        </w:rPr>
        <w:t xml:space="preserve"> da državni okvir propisuje da</w:t>
      </w:r>
      <w:r w:rsidRPr="00E244C4">
        <w:rPr>
          <w:rFonts w:eastAsia="Times New Roman" w:cs="Times New Roman"/>
          <w:szCs w:val="20"/>
          <w:lang w:val="hr-HR" w:eastAsia="en-GB"/>
        </w:rPr>
        <w:t>:</w:t>
      </w:r>
    </w:p>
    <w:p w:rsidR="00606960" w:rsidRPr="00E244C4" w:rsidRDefault="00606960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797EE0">
      <w:pPr>
        <w:pStyle w:val="ListParagraph"/>
        <w:numPr>
          <w:ilvl w:val="0"/>
          <w:numId w:val="28"/>
        </w:numPr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lastRenderedPageBreak/>
        <w:t>se svak</w:t>
      </w:r>
      <w:r w:rsidR="00BB74E4" w:rsidRPr="00E244C4">
        <w:rPr>
          <w:rFonts w:eastAsia="Times New Roman" w:cs="Times New Roman"/>
          <w:szCs w:val="20"/>
          <w:lang w:val="hr-HR" w:eastAsia="en-GB"/>
        </w:rPr>
        <w:t>o davanje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EE1B65" w:rsidRPr="00E244C4">
        <w:rPr>
          <w:rFonts w:eastAsia="Times New Roman" w:cs="Times New Roman"/>
          <w:szCs w:val="20"/>
          <w:lang w:val="hr-HR" w:eastAsia="en-GB"/>
        </w:rPr>
        <w:t>licence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za izgradnju ili </w:t>
      </w:r>
      <w:r w:rsidR="005F576C" w:rsidRPr="00E244C4">
        <w:rPr>
          <w:rFonts w:eastAsia="Times New Roman" w:cs="Times New Roman"/>
          <w:szCs w:val="20"/>
          <w:lang w:val="hr-HR" w:eastAsia="en-GB"/>
        </w:rPr>
        <w:t>vođenje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nuklearnog </w:t>
      </w:r>
      <w:r w:rsidR="00753B05" w:rsidRPr="00E244C4">
        <w:rPr>
          <w:rFonts w:eastAsia="Times New Roman" w:cs="Times New Roman"/>
          <w:szCs w:val="20"/>
          <w:lang w:val="hr-HR" w:eastAsia="en-GB"/>
        </w:rPr>
        <w:t>objekata</w:t>
      </w:r>
      <w:r w:rsidR="005F576C" w:rsidRPr="00E244C4">
        <w:rPr>
          <w:rFonts w:eastAsia="Times New Roman" w:cs="Times New Roman"/>
          <w:szCs w:val="20"/>
          <w:lang w:val="hr-HR" w:eastAsia="en-GB"/>
        </w:rPr>
        <w:t xml:space="preserve"> zasniva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na </w:t>
      </w:r>
      <w:r w:rsidR="005F576C" w:rsidRPr="00E244C4">
        <w:rPr>
          <w:rFonts w:eastAsia="Times New Roman" w:cs="Times New Roman"/>
          <w:szCs w:val="20"/>
          <w:lang w:val="hr-HR" w:eastAsia="en-GB"/>
        </w:rPr>
        <w:t>odgovarajućoj</w:t>
      </w:r>
      <w:r w:rsidRPr="00E244C4">
        <w:rPr>
          <w:rFonts w:eastAsia="Times New Roman" w:cs="Times New Roman"/>
          <w:szCs w:val="20"/>
          <w:lang w:val="hr-HR" w:eastAsia="en-GB"/>
        </w:rPr>
        <w:t xml:space="preserve"> procjeni specifičnoj za </w:t>
      </w:r>
      <w:r w:rsidR="005F576C" w:rsidRPr="00E244C4">
        <w:rPr>
          <w:rFonts w:eastAsia="Times New Roman" w:cs="Times New Roman"/>
          <w:szCs w:val="20"/>
          <w:lang w:val="hr-HR" w:eastAsia="en-GB"/>
        </w:rPr>
        <w:t xml:space="preserve">datu </w:t>
      </w:r>
      <w:r w:rsidRPr="00E244C4">
        <w:rPr>
          <w:rFonts w:eastAsia="Times New Roman" w:cs="Times New Roman"/>
          <w:szCs w:val="20"/>
          <w:lang w:val="hr-HR" w:eastAsia="en-GB"/>
        </w:rPr>
        <w:t xml:space="preserve">lokaciju i </w:t>
      </w:r>
      <w:r w:rsidR="005F576C" w:rsidRPr="00E244C4">
        <w:rPr>
          <w:rFonts w:eastAsia="Times New Roman" w:cs="Times New Roman"/>
          <w:szCs w:val="20"/>
          <w:lang w:val="hr-HR" w:eastAsia="en-GB"/>
        </w:rPr>
        <w:t>objekt,</w:t>
      </w:r>
      <w:r w:rsidRPr="00E244C4">
        <w:rPr>
          <w:rFonts w:eastAsia="Times New Roman" w:cs="Times New Roman"/>
          <w:szCs w:val="20"/>
          <w:lang w:val="hr-HR" w:eastAsia="en-GB"/>
        </w:rPr>
        <w:t xml:space="preserve"> koja </w:t>
      </w:r>
      <w:r w:rsidR="00606960" w:rsidRPr="00E244C4">
        <w:rPr>
          <w:rFonts w:eastAsia="Times New Roman" w:cs="Times New Roman"/>
          <w:szCs w:val="20"/>
          <w:lang w:val="hr-HR" w:eastAsia="en-GB"/>
        </w:rPr>
        <w:t>se sastoji od</w:t>
      </w:r>
      <w:r w:rsidRPr="00E244C4">
        <w:rPr>
          <w:rFonts w:eastAsia="Times New Roman" w:cs="Times New Roman"/>
          <w:szCs w:val="20"/>
          <w:lang w:val="hr-HR" w:eastAsia="en-GB"/>
        </w:rPr>
        <w:t xml:space="preserve"> dokaz</w:t>
      </w:r>
      <w:r w:rsidR="00606960" w:rsidRPr="00E244C4">
        <w:rPr>
          <w:rFonts w:eastAsia="Times New Roman" w:cs="Times New Roman"/>
          <w:szCs w:val="20"/>
          <w:lang w:val="hr-HR" w:eastAsia="en-GB"/>
        </w:rPr>
        <w:t>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nuklearne sigurnosti u odnosu na </w:t>
      </w:r>
      <w:r w:rsidR="00797EE0" w:rsidRPr="00E244C4">
        <w:rPr>
          <w:rFonts w:eastAsia="Times New Roman" w:cs="Times New Roman"/>
          <w:szCs w:val="20"/>
          <w:lang w:val="hr-HR" w:eastAsia="en-GB"/>
        </w:rPr>
        <w:t>državn</w:t>
      </w:r>
      <w:r w:rsidRPr="00E244C4">
        <w:rPr>
          <w:rFonts w:eastAsia="Times New Roman" w:cs="Times New Roman"/>
          <w:szCs w:val="20"/>
          <w:lang w:val="hr-HR" w:eastAsia="en-GB"/>
        </w:rPr>
        <w:t xml:space="preserve">e zahtjeve </w:t>
      </w:r>
      <w:r w:rsidR="005F576C" w:rsidRPr="00E244C4">
        <w:rPr>
          <w:rFonts w:eastAsia="Times New Roman" w:cs="Times New Roman"/>
          <w:szCs w:val="20"/>
          <w:lang w:val="hr-HR" w:eastAsia="en-GB"/>
        </w:rPr>
        <w:t>za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nuklearn</w:t>
      </w:r>
      <w:r w:rsidR="005F576C" w:rsidRPr="00E244C4">
        <w:rPr>
          <w:rFonts w:eastAsia="Times New Roman" w:cs="Times New Roman"/>
          <w:szCs w:val="20"/>
          <w:lang w:val="hr-HR" w:eastAsia="en-GB"/>
        </w:rPr>
        <w:t>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sigurnost </w:t>
      </w:r>
      <w:r w:rsidR="00797EE0" w:rsidRPr="00E244C4">
        <w:rPr>
          <w:rFonts w:eastAsia="Times New Roman" w:cs="Times New Roman"/>
          <w:szCs w:val="20"/>
          <w:lang w:val="hr-HR" w:eastAsia="en-GB"/>
        </w:rPr>
        <w:t>zasnovane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na cilju određenom u članu 8a;</w:t>
      </w:r>
    </w:p>
    <w:p w:rsidR="00797EE0" w:rsidRPr="00E244C4" w:rsidRDefault="00797EE0" w:rsidP="00797EE0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797EE0" w:rsidP="00797EE0">
      <w:pPr>
        <w:pStyle w:val="ListParagraph"/>
        <w:numPr>
          <w:ilvl w:val="0"/>
          <w:numId w:val="28"/>
        </w:numPr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vlasnik licence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pod regulatorn</w:t>
      </w:r>
      <w:r w:rsidR="005F576C" w:rsidRPr="00E244C4">
        <w:rPr>
          <w:rFonts w:eastAsia="Times New Roman" w:cs="Times New Roman"/>
          <w:szCs w:val="20"/>
          <w:lang w:val="hr-HR" w:eastAsia="en-GB"/>
        </w:rPr>
        <w:t>om kontrolom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nadležnih regulatornih</w:t>
      </w:r>
      <w:r w:rsidRPr="00E244C4">
        <w:rPr>
          <w:rFonts w:eastAsia="Times New Roman" w:cs="Times New Roman"/>
          <w:szCs w:val="20"/>
          <w:lang w:val="hr-HR" w:eastAsia="en-GB"/>
        </w:rPr>
        <w:t xml:space="preserve"> organa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s</w:t>
      </w:r>
      <w:r w:rsidR="005F576C" w:rsidRPr="00E244C4">
        <w:rPr>
          <w:rFonts w:eastAsia="Times New Roman" w:cs="Times New Roman"/>
          <w:szCs w:val="20"/>
          <w:lang w:val="hr-HR" w:eastAsia="en-GB"/>
        </w:rPr>
        <w:t>istemski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i redov</w:t>
      </w:r>
      <w:r w:rsidR="005F576C" w:rsidRPr="00E244C4">
        <w:rPr>
          <w:rFonts w:eastAsia="Times New Roman" w:cs="Times New Roman"/>
          <w:szCs w:val="20"/>
          <w:lang w:val="hr-HR" w:eastAsia="en-GB"/>
        </w:rPr>
        <w:t>n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o procjenjuje, najmanje svakih </w:t>
      </w:r>
      <w:r w:rsidR="00DD00B5" w:rsidRPr="00E244C4">
        <w:rPr>
          <w:rFonts w:eastAsia="Times New Roman" w:cs="Times New Roman"/>
          <w:szCs w:val="20"/>
          <w:lang w:val="hr-HR" w:eastAsia="en-GB"/>
        </w:rPr>
        <w:t>10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godina, sigurnost nuklearnog </w:t>
      </w:r>
      <w:r w:rsidR="00753B05" w:rsidRPr="00E244C4">
        <w:rPr>
          <w:rFonts w:eastAsia="Times New Roman" w:cs="Times New Roman"/>
          <w:szCs w:val="20"/>
          <w:lang w:val="hr-HR" w:eastAsia="en-GB"/>
        </w:rPr>
        <w:t>objekata</w:t>
      </w:r>
      <w:r w:rsidR="005F576C" w:rsidRPr="00E244C4">
        <w:rPr>
          <w:rFonts w:eastAsia="Times New Roman" w:cs="Times New Roman"/>
          <w:szCs w:val="20"/>
          <w:lang w:val="hr-HR" w:eastAsia="en-GB"/>
        </w:rPr>
        <w:t xml:space="preserve"> na način utvrđen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u članu 6 </w:t>
      </w:r>
      <w:r w:rsidR="00606960" w:rsidRPr="00E244C4">
        <w:rPr>
          <w:rFonts w:eastAsia="Times New Roman" w:cs="Times New Roman"/>
          <w:szCs w:val="20"/>
          <w:lang w:val="hr-HR" w:eastAsia="en-GB"/>
        </w:rPr>
        <w:t>tačka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(c). T</w:t>
      </w:r>
      <w:r w:rsidR="005F576C" w:rsidRPr="00E244C4">
        <w:rPr>
          <w:rFonts w:eastAsia="Times New Roman" w:cs="Times New Roman"/>
          <w:szCs w:val="20"/>
          <w:lang w:val="hr-HR" w:eastAsia="en-GB"/>
        </w:rPr>
        <w:t>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ponovn</w:t>
      </w:r>
      <w:r w:rsidR="005F576C" w:rsidRPr="00E244C4">
        <w:rPr>
          <w:rFonts w:eastAsia="Times New Roman" w:cs="Times New Roman"/>
          <w:szCs w:val="20"/>
          <w:lang w:val="hr-HR" w:eastAsia="en-GB"/>
        </w:rPr>
        <w:t>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procjen</w:t>
      </w:r>
      <w:r w:rsidR="005F576C" w:rsidRPr="00E244C4">
        <w:rPr>
          <w:rFonts w:eastAsia="Times New Roman" w:cs="Times New Roman"/>
          <w:szCs w:val="20"/>
          <w:lang w:val="hr-HR" w:eastAsia="en-GB"/>
        </w:rPr>
        <w:t>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sigurnosti </w:t>
      </w:r>
      <w:r w:rsidR="005F576C" w:rsidRPr="00E244C4">
        <w:rPr>
          <w:rFonts w:eastAsia="Times New Roman" w:cs="Times New Roman"/>
          <w:szCs w:val="20"/>
          <w:lang w:val="hr-HR" w:eastAsia="en-GB"/>
        </w:rPr>
        <w:t>imaju za cilj osigurava</w:t>
      </w:r>
      <w:r w:rsidR="00A9145C" w:rsidRPr="00E244C4">
        <w:rPr>
          <w:rFonts w:eastAsia="Times New Roman" w:cs="Times New Roman"/>
          <w:szCs w:val="20"/>
          <w:lang w:val="hr-HR" w:eastAsia="en-GB"/>
        </w:rPr>
        <w:t>n</w:t>
      </w:r>
      <w:r w:rsidR="005F576C" w:rsidRPr="00E244C4">
        <w:rPr>
          <w:rFonts w:eastAsia="Times New Roman" w:cs="Times New Roman"/>
          <w:szCs w:val="20"/>
          <w:lang w:val="hr-HR" w:eastAsia="en-GB"/>
        </w:rPr>
        <w:t>je pridržavanja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5F576C" w:rsidRPr="00E244C4">
        <w:rPr>
          <w:rFonts w:eastAsia="Times New Roman" w:cs="Times New Roman"/>
          <w:szCs w:val="20"/>
          <w:lang w:val="hr-HR" w:eastAsia="en-GB"/>
        </w:rPr>
        <w:t>važeće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projektne osnove i utvr</w:t>
      </w:r>
      <w:r w:rsidR="00A9145C" w:rsidRPr="00E244C4">
        <w:rPr>
          <w:rFonts w:eastAsia="Times New Roman" w:cs="Times New Roman"/>
          <w:szCs w:val="20"/>
          <w:lang w:val="hr-HR" w:eastAsia="en-GB"/>
        </w:rPr>
        <w:t>đivanje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dalj</w:t>
      </w:r>
      <w:r w:rsidR="00A9145C" w:rsidRPr="00E244C4">
        <w:rPr>
          <w:rFonts w:eastAsia="Times New Roman" w:cs="Times New Roman"/>
          <w:szCs w:val="20"/>
          <w:lang w:val="hr-HR" w:eastAsia="en-GB"/>
        </w:rPr>
        <w:t>ih unapređenja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sigurnos</w:t>
      </w:r>
      <w:r w:rsidR="00A9145C" w:rsidRPr="00E244C4">
        <w:rPr>
          <w:rFonts w:eastAsia="Times New Roman" w:cs="Times New Roman"/>
          <w:szCs w:val="20"/>
          <w:lang w:val="hr-HR" w:eastAsia="en-GB"/>
        </w:rPr>
        <w:t>ti,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uzimajući u obzir pitanja starenja</w:t>
      </w:r>
      <w:r w:rsidR="00A9145C" w:rsidRPr="00E244C4">
        <w:rPr>
          <w:rFonts w:eastAsia="Times New Roman" w:cs="Times New Roman"/>
          <w:szCs w:val="20"/>
          <w:lang w:val="hr-HR" w:eastAsia="en-GB"/>
        </w:rPr>
        <w:t xml:space="preserve"> objekta i opreme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, </w:t>
      </w:r>
      <w:r w:rsidR="00A9145C" w:rsidRPr="00E244C4">
        <w:rPr>
          <w:rFonts w:eastAsia="Times New Roman" w:cs="Times New Roman"/>
          <w:szCs w:val="20"/>
          <w:lang w:val="hr-HR" w:eastAsia="en-GB"/>
        </w:rPr>
        <w:t>operativno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iskustvo, najnovije rezultate istraživanja i </w:t>
      </w:r>
      <w:r w:rsidR="00A9145C" w:rsidRPr="00E244C4">
        <w:rPr>
          <w:rFonts w:eastAsia="Times New Roman" w:cs="Times New Roman"/>
          <w:szCs w:val="20"/>
          <w:lang w:val="hr-HR" w:eastAsia="en-GB"/>
        </w:rPr>
        <w:t>dešavanja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u </w:t>
      </w:r>
      <w:r w:rsidR="00A9145C" w:rsidRPr="00E244C4">
        <w:rPr>
          <w:rFonts w:eastAsia="Times New Roman" w:cs="Times New Roman"/>
          <w:szCs w:val="20"/>
          <w:lang w:val="hr-HR" w:eastAsia="en-GB"/>
        </w:rPr>
        <w:t>oblasti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međunarodnih </w:t>
      </w:r>
      <w:r w:rsidR="00A9145C" w:rsidRPr="00E244C4">
        <w:rPr>
          <w:rFonts w:eastAsia="Times New Roman" w:cs="Times New Roman"/>
          <w:szCs w:val="20"/>
          <w:lang w:val="hr-HR" w:eastAsia="en-GB"/>
        </w:rPr>
        <w:t>standarda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, koristeći </w:t>
      </w:r>
      <w:r w:rsidR="00A9145C" w:rsidRPr="00E244C4">
        <w:rPr>
          <w:rFonts w:eastAsia="Times New Roman" w:cs="Times New Roman"/>
          <w:szCs w:val="20"/>
          <w:lang w:val="hr-HR" w:eastAsia="en-GB"/>
        </w:rPr>
        <w:t xml:space="preserve">kao referencu cilj </w:t>
      </w:r>
      <w:r w:rsidR="00371F52" w:rsidRPr="00E244C4">
        <w:rPr>
          <w:rFonts w:eastAsia="Times New Roman" w:cs="Times New Roman"/>
          <w:szCs w:val="20"/>
          <w:lang w:val="hr-HR" w:eastAsia="en-GB"/>
        </w:rPr>
        <w:t>određe</w:t>
      </w:r>
      <w:r w:rsidR="00A9145C" w:rsidRPr="00E244C4">
        <w:rPr>
          <w:rFonts w:eastAsia="Times New Roman" w:cs="Times New Roman"/>
          <w:szCs w:val="20"/>
          <w:lang w:val="hr-HR" w:eastAsia="en-GB"/>
        </w:rPr>
        <w:t>n</w:t>
      </w:r>
      <w:r w:rsidR="00371F52" w:rsidRPr="00E244C4">
        <w:rPr>
          <w:rFonts w:eastAsia="Times New Roman" w:cs="Times New Roman"/>
          <w:szCs w:val="20"/>
          <w:lang w:val="hr-HR" w:eastAsia="en-GB"/>
        </w:rPr>
        <w:t xml:space="preserve"> u članu 8a.</w:t>
      </w:r>
    </w:p>
    <w:p w:rsidR="00797EE0" w:rsidRPr="00E244C4" w:rsidRDefault="00797EE0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797EE0">
      <w:pPr>
        <w:jc w:val="center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Član 8d</w:t>
      </w:r>
      <w:r w:rsidR="000E6EF1" w:rsidRPr="00E244C4">
        <w:rPr>
          <w:rFonts w:eastAsia="Times New Roman" w:cs="Times New Roman"/>
          <w:szCs w:val="20"/>
          <w:lang w:val="hr-HR" w:eastAsia="en-GB"/>
        </w:rPr>
        <w:t>.</w:t>
      </w:r>
    </w:p>
    <w:p w:rsidR="00371F52" w:rsidRPr="00E244C4" w:rsidRDefault="00371F52" w:rsidP="00797EE0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E244C4">
        <w:rPr>
          <w:rFonts w:eastAsia="Times New Roman" w:cs="Times New Roman"/>
          <w:b/>
          <w:szCs w:val="20"/>
          <w:lang w:val="hr-HR" w:eastAsia="en-GB"/>
        </w:rPr>
        <w:t>Pripr</w:t>
      </w:r>
      <w:r w:rsidR="00A9145C" w:rsidRPr="00E244C4">
        <w:rPr>
          <w:rFonts w:eastAsia="Times New Roman" w:cs="Times New Roman"/>
          <w:b/>
          <w:szCs w:val="20"/>
          <w:lang w:val="hr-HR" w:eastAsia="en-GB"/>
        </w:rPr>
        <w:t>emljenost</w:t>
      </w:r>
      <w:r w:rsidRPr="00E244C4">
        <w:rPr>
          <w:rFonts w:eastAsia="Times New Roman" w:cs="Times New Roman"/>
          <w:b/>
          <w:szCs w:val="20"/>
          <w:lang w:val="hr-HR" w:eastAsia="en-GB"/>
        </w:rPr>
        <w:t xml:space="preserve"> </w:t>
      </w:r>
      <w:r w:rsidR="00606960" w:rsidRPr="00E244C4">
        <w:rPr>
          <w:rFonts w:eastAsia="Times New Roman" w:cs="Times New Roman"/>
          <w:b/>
          <w:szCs w:val="20"/>
          <w:lang w:val="hr-HR" w:eastAsia="en-GB"/>
        </w:rPr>
        <w:t xml:space="preserve">i odgovor </w:t>
      </w:r>
      <w:r w:rsidR="00606960" w:rsidRPr="00E244C4">
        <w:rPr>
          <w:rFonts w:eastAsia="Times New Roman" w:cs="Times New Roman"/>
          <w:b/>
          <w:szCs w:val="20"/>
          <w:lang w:val="hr-HR" w:eastAsia="en-GB"/>
        </w:rPr>
        <w:br/>
        <w:t>na</w:t>
      </w:r>
      <w:r w:rsidRPr="00E244C4">
        <w:rPr>
          <w:rFonts w:eastAsia="Times New Roman" w:cs="Times New Roman"/>
          <w:b/>
          <w:szCs w:val="20"/>
          <w:lang w:val="hr-HR" w:eastAsia="en-GB"/>
        </w:rPr>
        <w:t xml:space="preserve"> vanredni događaj na lokaciji </w:t>
      </w:r>
      <w:r w:rsidR="00292029" w:rsidRPr="00E244C4">
        <w:rPr>
          <w:rFonts w:eastAsia="Times New Roman" w:cs="Times New Roman"/>
          <w:b/>
          <w:szCs w:val="20"/>
          <w:lang w:val="hr-HR" w:eastAsia="en-GB"/>
        </w:rPr>
        <w:t>objekta</w:t>
      </w:r>
    </w:p>
    <w:p w:rsidR="00797EE0" w:rsidRPr="00E244C4" w:rsidRDefault="00797EE0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797EE0">
      <w:pPr>
        <w:pStyle w:val="ListParagraph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Ne dovodeći u pitanje odredbe Direktive 2013/59/Euratom, države članice </w:t>
      </w:r>
      <w:r w:rsidR="001E134E" w:rsidRPr="00E244C4">
        <w:rPr>
          <w:rFonts w:eastAsia="Times New Roman" w:cs="Times New Roman"/>
          <w:szCs w:val="20"/>
          <w:lang w:val="hr-HR" w:eastAsia="en-GB"/>
        </w:rPr>
        <w:t>osiguravaju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da </w:t>
      </w:r>
      <w:r w:rsidR="00797EE0" w:rsidRPr="00E244C4">
        <w:rPr>
          <w:rFonts w:eastAsia="Times New Roman" w:cs="Times New Roman"/>
          <w:szCs w:val="20"/>
          <w:lang w:val="hr-HR" w:eastAsia="en-GB"/>
        </w:rPr>
        <w:t>državn</w:t>
      </w:r>
      <w:r w:rsidRPr="00E244C4">
        <w:rPr>
          <w:rFonts w:eastAsia="Times New Roman" w:cs="Times New Roman"/>
          <w:szCs w:val="20"/>
          <w:lang w:val="hr-HR" w:eastAsia="en-GB"/>
        </w:rPr>
        <w:t xml:space="preserve">i okvir </w:t>
      </w:r>
      <w:r w:rsidR="00354668" w:rsidRPr="00E244C4">
        <w:rPr>
          <w:rFonts w:eastAsia="Times New Roman" w:cs="Times New Roman"/>
          <w:szCs w:val="20"/>
          <w:lang w:val="hr-HR" w:eastAsia="en-GB"/>
        </w:rPr>
        <w:t>propisuje uspostavljanje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organizaci</w:t>
      </w:r>
      <w:r w:rsidR="00354668" w:rsidRPr="00E244C4">
        <w:rPr>
          <w:rFonts w:eastAsia="Times New Roman" w:cs="Times New Roman"/>
          <w:szCs w:val="20"/>
          <w:lang w:val="hr-HR" w:eastAsia="en-GB"/>
        </w:rPr>
        <w:t>one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struktur</w:t>
      </w:r>
      <w:r w:rsidR="00354668" w:rsidRPr="00E244C4">
        <w:rPr>
          <w:rFonts w:eastAsia="Times New Roman" w:cs="Times New Roman"/>
          <w:szCs w:val="20"/>
          <w:lang w:val="hr-HR" w:eastAsia="en-GB"/>
        </w:rPr>
        <w:t>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za pripr</w:t>
      </w:r>
      <w:r w:rsidR="00354668" w:rsidRPr="00E244C4">
        <w:rPr>
          <w:rFonts w:eastAsia="Times New Roman" w:cs="Times New Roman"/>
          <w:szCs w:val="20"/>
          <w:lang w:val="hr-HR" w:eastAsia="en-GB"/>
        </w:rPr>
        <w:t>emljen</w:t>
      </w:r>
      <w:r w:rsidR="00EA0643" w:rsidRPr="00E244C4">
        <w:rPr>
          <w:rFonts w:eastAsia="Times New Roman" w:cs="Times New Roman"/>
          <w:szCs w:val="20"/>
          <w:lang w:val="hr-HR" w:eastAsia="en-GB"/>
        </w:rPr>
        <w:t>o</w:t>
      </w:r>
      <w:r w:rsidR="00354668" w:rsidRPr="00E244C4">
        <w:rPr>
          <w:rFonts w:eastAsia="Times New Roman" w:cs="Times New Roman"/>
          <w:szCs w:val="20"/>
          <w:lang w:val="hr-HR" w:eastAsia="en-GB"/>
        </w:rPr>
        <w:t xml:space="preserve">st </w:t>
      </w:r>
      <w:r w:rsidR="00BF394E" w:rsidRPr="00E244C4">
        <w:rPr>
          <w:rFonts w:eastAsia="Times New Roman" w:cs="Times New Roman"/>
          <w:szCs w:val="20"/>
          <w:lang w:val="hr-HR" w:eastAsia="en-GB"/>
        </w:rPr>
        <w:t xml:space="preserve">i odgovor </w:t>
      </w:r>
      <w:r w:rsidR="00354668" w:rsidRPr="00E244C4">
        <w:rPr>
          <w:rFonts w:eastAsia="Times New Roman" w:cs="Times New Roman"/>
          <w:szCs w:val="20"/>
          <w:lang w:val="hr-HR" w:eastAsia="en-GB"/>
        </w:rPr>
        <w:t>na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0E6EF1" w:rsidRPr="00E244C4">
        <w:rPr>
          <w:rFonts w:eastAsia="Times New Roman" w:cs="Times New Roman"/>
          <w:szCs w:val="20"/>
          <w:lang w:val="hr-HR" w:eastAsia="en-GB"/>
        </w:rPr>
        <w:t>vanred</w:t>
      </w:r>
      <w:r w:rsidRPr="00E244C4">
        <w:rPr>
          <w:rFonts w:eastAsia="Times New Roman" w:cs="Times New Roman"/>
          <w:szCs w:val="20"/>
          <w:lang w:val="hr-HR" w:eastAsia="en-GB"/>
        </w:rPr>
        <w:t>ni događaj na l</w:t>
      </w:r>
      <w:r w:rsidR="00BF394E" w:rsidRPr="00E244C4">
        <w:rPr>
          <w:rFonts w:eastAsia="Times New Roman" w:cs="Times New Roman"/>
          <w:szCs w:val="20"/>
          <w:lang w:val="hr-HR" w:eastAsia="en-GB"/>
        </w:rPr>
        <w:t>okaciji</w:t>
      </w:r>
      <w:r w:rsidR="00292029" w:rsidRPr="00E244C4">
        <w:rPr>
          <w:rFonts w:eastAsia="Times New Roman" w:cs="Times New Roman"/>
          <w:szCs w:val="20"/>
          <w:lang w:val="hr-HR" w:eastAsia="en-GB"/>
        </w:rPr>
        <w:t xml:space="preserve"> objekta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uz jasnu </w:t>
      </w:r>
      <w:r w:rsidR="00BF394E" w:rsidRPr="00E244C4">
        <w:rPr>
          <w:rFonts w:eastAsia="Times New Roman" w:cs="Times New Roman"/>
          <w:szCs w:val="20"/>
          <w:lang w:val="hr-HR" w:eastAsia="en-GB"/>
        </w:rPr>
        <w:t>ras</w:t>
      </w:r>
      <w:r w:rsidRPr="00E244C4">
        <w:rPr>
          <w:rFonts w:eastAsia="Times New Roman" w:cs="Times New Roman"/>
          <w:szCs w:val="20"/>
          <w:lang w:val="hr-HR" w:eastAsia="en-GB"/>
        </w:rPr>
        <w:t xml:space="preserve">podjelu odgovornosti i koordinaciju između </w:t>
      </w:r>
      <w:r w:rsidR="003E7747" w:rsidRPr="00E244C4">
        <w:rPr>
          <w:rFonts w:eastAsia="Times New Roman" w:cs="Times New Roman"/>
          <w:szCs w:val="20"/>
          <w:lang w:val="hr-HR" w:eastAsia="en-GB"/>
        </w:rPr>
        <w:t>vlasnika licence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 nadležnih tijela i organizacija, uzimajući u obzir sve faze vanrednog događaja.</w:t>
      </w:r>
    </w:p>
    <w:p w:rsidR="00797EE0" w:rsidRPr="00E244C4" w:rsidRDefault="00797EE0" w:rsidP="00797EE0">
      <w:pPr>
        <w:pStyle w:val="ListParagraph"/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797EE0">
      <w:pPr>
        <w:pStyle w:val="ListParagraph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Države članice osiguravaju dosljednost i kontinuitet između mehanizama </w:t>
      </w:r>
      <w:r w:rsidR="00BF394E" w:rsidRPr="00E244C4">
        <w:rPr>
          <w:rFonts w:eastAsia="Times New Roman" w:cs="Times New Roman"/>
          <w:szCs w:val="20"/>
          <w:lang w:val="hr-HR" w:eastAsia="en-GB"/>
        </w:rPr>
        <w:t>pripremljenosti i odgovora n</w:t>
      </w:r>
      <w:r w:rsidRPr="00E244C4">
        <w:rPr>
          <w:rFonts w:eastAsia="Times New Roman" w:cs="Times New Roman"/>
          <w:szCs w:val="20"/>
          <w:lang w:val="hr-HR" w:eastAsia="en-GB"/>
        </w:rPr>
        <w:t xml:space="preserve">a </w:t>
      </w:r>
      <w:r w:rsidR="000E6EF1" w:rsidRPr="00E244C4">
        <w:rPr>
          <w:rFonts w:eastAsia="Times New Roman" w:cs="Times New Roman"/>
          <w:szCs w:val="20"/>
          <w:lang w:val="hr-HR" w:eastAsia="en-GB"/>
        </w:rPr>
        <w:t>vanred</w:t>
      </w:r>
      <w:r w:rsidRPr="00E244C4">
        <w:rPr>
          <w:rFonts w:eastAsia="Times New Roman" w:cs="Times New Roman"/>
          <w:szCs w:val="20"/>
          <w:lang w:val="hr-HR" w:eastAsia="en-GB"/>
        </w:rPr>
        <w:t xml:space="preserve">ni događaj na lokaciji </w:t>
      </w:r>
      <w:r w:rsidR="00292029" w:rsidRPr="00E244C4">
        <w:rPr>
          <w:rFonts w:eastAsia="Times New Roman" w:cs="Times New Roman"/>
          <w:szCs w:val="20"/>
          <w:lang w:val="hr-HR" w:eastAsia="en-GB"/>
        </w:rPr>
        <w:t xml:space="preserve">objekta </w:t>
      </w:r>
      <w:r w:rsidRPr="00E244C4">
        <w:rPr>
          <w:rFonts w:eastAsia="Times New Roman" w:cs="Times New Roman"/>
          <w:szCs w:val="20"/>
          <w:lang w:val="hr-HR" w:eastAsia="en-GB"/>
        </w:rPr>
        <w:t xml:space="preserve">koje </w:t>
      </w:r>
      <w:r w:rsidR="00BF394E" w:rsidRPr="00E244C4">
        <w:rPr>
          <w:rFonts w:eastAsia="Times New Roman" w:cs="Times New Roman"/>
          <w:szCs w:val="20"/>
          <w:lang w:val="hr-HR" w:eastAsia="en-GB"/>
        </w:rPr>
        <w:t>propisuje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797EE0" w:rsidRPr="00E244C4">
        <w:rPr>
          <w:rFonts w:eastAsia="Times New Roman" w:cs="Times New Roman"/>
          <w:szCs w:val="20"/>
          <w:lang w:val="hr-HR" w:eastAsia="en-GB"/>
        </w:rPr>
        <w:t>državn</w:t>
      </w:r>
      <w:r w:rsidRPr="00E244C4">
        <w:rPr>
          <w:rFonts w:eastAsia="Times New Roman" w:cs="Times New Roman"/>
          <w:szCs w:val="20"/>
          <w:lang w:val="hr-HR" w:eastAsia="en-GB"/>
        </w:rPr>
        <w:t xml:space="preserve">i okvir i drugih mehanizama </w:t>
      </w:r>
      <w:r w:rsidR="00BF394E" w:rsidRPr="00E244C4">
        <w:rPr>
          <w:rFonts w:eastAsia="Times New Roman" w:cs="Times New Roman"/>
          <w:szCs w:val="20"/>
          <w:lang w:val="hr-HR" w:eastAsia="en-GB"/>
        </w:rPr>
        <w:t>pripremljenosti i odgovora na vanredni događaj</w:t>
      </w:r>
      <w:r w:rsidRPr="00E244C4">
        <w:rPr>
          <w:rFonts w:eastAsia="Times New Roman" w:cs="Times New Roman"/>
          <w:szCs w:val="20"/>
          <w:lang w:val="hr-HR" w:eastAsia="en-GB"/>
        </w:rPr>
        <w:t xml:space="preserve"> koji se zahtijevaju </w:t>
      </w:r>
      <w:r w:rsidR="00BF394E" w:rsidRPr="00E244C4">
        <w:rPr>
          <w:rFonts w:eastAsia="Times New Roman" w:cs="Times New Roman"/>
          <w:szCs w:val="20"/>
          <w:lang w:val="hr-HR" w:eastAsia="en-GB"/>
        </w:rPr>
        <w:t>u skladu s</w:t>
      </w:r>
      <w:r w:rsidRPr="00E244C4">
        <w:rPr>
          <w:rFonts w:eastAsia="Times New Roman" w:cs="Times New Roman"/>
          <w:szCs w:val="20"/>
          <w:lang w:val="hr-HR" w:eastAsia="en-GB"/>
        </w:rPr>
        <w:t xml:space="preserve"> Direktiv</w:t>
      </w:r>
      <w:r w:rsidR="00BF394E" w:rsidRPr="00E244C4">
        <w:rPr>
          <w:rFonts w:eastAsia="Times New Roman" w:cs="Times New Roman"/>
          <w:szCs w:val="20"/>
          <w:lang w:val="hr-HR" w:eastAsia="en-GB"/>
        </w:rPr>
        <w:t>om</w:t>
      </w:r>
      <w:r w:rsidRPr="00E244C4">
        <w:rPr>
          <w:rFonts w:eastAsia="Times New Roman" w:cs="Times New Roman"/>
          <w:szCs w:val="20"/>
          <w:lang w:val="hr-HR" w:eastAsia="en-GB"/>
        </w:rPr>
        <w:t xml:space="preserve"> 2013/59/Euratom.</w:t>
      </w:r>
    </w:p>
    <w:p w:rsidR="00371F52" w:rsidRPr="00E244C4" w:rsidRDefault="00371F52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ED725B">
      <w:pPr>
        <w:tabs>
          <w:tab w:val="left" w:pos="2100"/>
        </w:tabs>
        <w:jc w:val="center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POGLAVLJE 2a</w:t>
      </w:r>
    </w:p>
    <w:p w:rsidR="00ED725B" w:rsidRPr="00E244C4" w:rsidRDefault="00ED725B" w:rsidP="00ED725B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606960" w:rsidP="00ED725B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E244C4">
        <w:rPr>
          <w:rFonts w:eastAsia="Times New Roman" w:cs="Times New Roman"/>
          <w:b/>
          <w:szCs w:val="20"/>
          <w:lang w:val="hr-HR" w:eastAsia="en-GB"/>
        </w:rPr>
        <w:t>STRUČNA PREISPITIVANJA</w:t>
      </w:r>
      <w:r w:rsidR="00371F52" w:rsidRPr="00E244C4">
        <w:rPr>
          <w:rFonts w:eastAsia="Times New Roman" w:cs="Times New Roman"/>
          <w:b/>
          <w:szCs w:val="20"/>
          <w:lang w:val="hr-HR" w:eastAsia="en-GB"/>
        </w:rPr>
        <w:t xml:space="preserve"> I IZVJEŠ</w:t>
      </w:r>
      <w:r w:rsidR="00ED725B" w:rsidRPr="00E244C4">
        <w:rPr>
          <w:rFonts w:eastAsia="Times New Roman" w:cs="Times New Roman"/>
          <w:b/>
          <w:szCs w:val="20"/>
          <w:lang w:val="hr-HR" w:eastAsia="en-GB"/>
        </w:rPr>
        <w:t>TA</w:t>
      </w:r>
      <w:r w:rsidR="00371F52" w:rsidRPr="00E244C4">
        <w:rPr>
          <w:rFonts w:eastAsia="Times New Roman" w:cs="Times New Roman"/>
          <w:b/>
          <w:szCs w:val="20"/>
          <w:lang w:val="hr-HR" w:eastAsia="en-GB"/>
        </w:rPr>
        <w:t>VANJE</w:t>
      </w:r>
    </w:p>
    <w:p w:rsidR="00ED725B" w:rsidRPr="00E244C4" w:rsidRDefault="00ED725B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ED725B">
      <w:pPr>
        <w:jc w:val="center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Član 8e</w:t>
      </w:r>
      <w:r w:rsidR="000E6EF1" w:rsidRPr="00E244C4">
        <w:rPr>
          <w:rFonts w:eastAsia="Times New Roman" w:cs="Times New Roman"/>
          <w:szCs w:val="20"/>
          <w:lang w:val="hr-HR" w:eastAsia="en-GB"/>
        </w:rPr>
        <w:t>.</w:t>
      </w:r>
    </w:p>
    <w:p w:rsidR="00371F52" w:rsidRPr="00E244C4" w:rsidRDefault="00606960" w:rsidP="00ED725B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E244C4">
        <w:rPr>
          <w:rFonts w:eastAsia="Times New Roman" w:cs="Times New Roman"/>
          <w:b/>
          <w:szCs w:val="20"/>
          <w:lang w:val="hr-HR" w:eastAsia="en-GB"/>
        </w:rPr>
        <w:t>Stručna p</w:t>
      </w:r>
      <w:r w:rsidR="008D5444" w:rsidRPr="00E244C4">
        <w:rPr>
          <w:rFonts w:eastAsia="Times New Roman" w:cs="Times New Roman"/>
          <w:b/>
          <w:szCs w:val="20"/>
          <w:lang w:val="hr-HR" w:eastAsia="en-GB"/>
        </w:rPr>
        <w:t>re</w:t>
      </w:r>
      <w:r w:rsidR="00292029" w:rsidRPr="00E244C4">
        <w:rPr>
          <w:rFonts w:eastAsia="Times New Roman" w:cs="Times New Roman"/>
          <w:b/>
          <w:szCs w:val="20"/>
          <w:lang w:val="hr-HR" w:eastAsia="en-GB"/>
        </w:rPr>
        <w:t>ispitivanja</w:t>
      </w:r>
      <w:r w:rsidRPr="00E244C4">
        <w:rPr>
          <w:rFonts w:eastAsia="Times New Roman" w:cs="Times New Roman"/>
          <w:b/>
          <w:szCs w:val="20"/>
          <w:lang w:val="hr-HR" w:eastAsia="en-GB"/>
        </w:rPr>
        <w:t xml:space="preserve"> </w:t>
      </w:r>
    </w:p>
    <w:p w:rsidR="00ED725B" w:rsidRPr="00E244C4" w:rsidRDefault="00ED725B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797EE0">
      <w:pPr>
        <w:pStyle w:val="ListParagraph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Države članice najmanje svakih</w:t>
      </w:r>
      <w:r w:rsidR="00B07D9F" w:rsidRPr="00E244C4">
        <w:rPr>
          <w:rFonts w:eastAsia="Times New Roman" w:cs="Times New Roman"/>
          <w:szCs w:val="20"/>
          <w:lang w:val="hr-HR" w:eastAsia="en-GB"/>
        </w:rPr>
        <w:t xml:space="preserve"> 10</w:t>
      </w:r>
      <w:r w:rsidRPr="00E244C4">
        <w:rPr>
          <w:rFonts w:eastAsia="Times New Roman" w:cs="Times New Roman"/>
          <w:szCs w:val="20"/>
          <w:lang w:val="hr-HR" w:eastAsia="en-GB"/>
        </w:rPr>
        <w:t xml:space="preserve"> godina organiz</w:t>
      </w:r>
      <w:r w:rsidR="008D5444" w:rsidRPr="00E244C4">
        <w:rPr>
          <w:rFonts w:eastAsia="Times New Roman" w:cs="Times New Roman"/>
          <w:szCs w:val="20"/>
          <w:lang w:val="hr-HR" w:eastAsia="en-GB"/>
        </w:rPr>
        <w:t>u</w:t>
      </w:r>
      <w:r w:rsidRPr="00E244C4">
        <w:rPr>
          <w:rFonts w:eastAsia="Times New Roman" w:cs="Times New Roman"/>
          <w:szCs w:val="20"/>
          <w:lang w:val="hr-HR" w:eastAsia="en-GB"/>
        </w:rPr>
        <w:t xml:space="preserve">ju periodične samoprocjene svog </w:t>
      </w:r>
      <w:r w:rsidR="00797EE0" w:rsidRPr="00E244C4">
        <w:rPr>
          <w:rFonts w:eastAsia="Times New Roman" w:cs="Times New Roman"/>
          <w:szCs w:val="20"/>
          <w:lang w:val="hr-HR" w:eastAsia="en-GB"/>
        </w:rPr>
        <w:t>državn</w:t>
      </w:r>
      <w:r w:rsidRPr="00E244C4">
        <w:rPr>
          <w:rFonts w:eastAsia="Times New Roman" w:cs="Times New Roman"/>
          <w:szCs w:val="20"/>
          <w:lang w:val="hr-HR" w:eastAsia="en-GB"/>
        </w:rPr>
        <w:t>og okvira i nadležn</w:t>
      </w:r>
      <w:r w:rsidR="00606960" w:rsidRPr="00E244C4">
        <w:rPr>
          <w:rFonts w:eastAsia="Times New Roman" w:cs="Times New Roman"/>
          <w:szCs w:val="20"/>
          <w:lang w:val="hr-HR" w:eastAsia="en-GB"/>
        </w:rPr>
        <w:t>og</w:t>
      </w:r>
      <w:r w:rsidRPr="00E244C4">
        <w:rPr>
          <w:rFonts w:eastAsia="Times New Roman" w:cs="Times New Roman"/>
          <w:szCs w:val="20"/>
          <w:lang w:val="hr-HR" w:eastAsia="en-GB"/>
        </w:rPr>
        <w:t xml:space="preserve"> regulatorn</w:t>
      </w:r>
      <w:r w:rsidR="00606960" w:rsidRPr="00E244C4">
        <w:rPr>
          <w:rFonts w:eastAsia="Times New Roman" w:cs="Times New Roman"/>
          <w:szCs w:val="20"/>
          <w:lang w:val="hr-HR" w:eastAsia="en-GB"/>
        </w:rPr>
        <w:t>og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0E6EF1" w:rsidRPr="00E244C4">
        <w:rPr>
          <w:rFonts w:eastAsia="Times New Roman" w:cs="Times New Roman"/>
          <w:szCs w:val="20"/>
          <w:lang w:val="hr-HR" w:eastAsia="en-GB"/>
        </w:rPr>
        <w:t>organa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te pozivaju na međunarodn</w:t>
      </w:r>
      <w:r w:rsidR="00FA1000" w:rsidRPr="00E244C4">
        <w:rPr>
          <w:rFonts w:eastAsia="Times New Roman" w:cs="Times New Roman"/>
          <w:szCs w:val="20"/>
          <w:lang w:val="hr-HR" w:eastAsia="en-GB"/>
        </w:rPr>
        <w:t>o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606960" w:rsidRPr="00E244C4">
        <w:rPr>
          <w:rFonts w:eastAsia="Times New Roman" w:cs="Times New Roman"/>
          <w:szCs w:val="20"/>
          <w:lang w:val="hr-HR" w:eastAsia="en-GB"/>
        </w:rPr>
        <w:t xml:space="preserve">stručno </w:t>
      </w:r>
      <w:r w:rsidR="00FA1000" w:rsidRPr="00E244C4">
        <w:rPr>
          <w:rFonts w:eastAsia="Times New Roman" w:cs="Times New Roman"/>
          <w:szCs w:val="20"/>
          <w:lang w:val="hr-HR" w:eastAsia="en-GB"/>
        </w:rPr>
        <w:t xml:space="preserve">preispitivanje </w:t>
      </w:r>
      <w:r w:rsidRPr="00E244C4">
        <w:rPr>
          <w:rFonts w:eastAsia="Times New Roman" w:cs="Times New Roman"/>
          <w:szCs w:val="20"/>
          <w:lang w:val="hr-HR" w:eastAsia="en-GB"/>
        </w:rPr>
        <w:t>relevantn</w:t>
      </w:r>
      <w:r w:rsidR="00606960" w:rsidRPr="00E244C4">
        <w:rPr>
          <w:rFonts w:eastAsia="Times New Roman" w:cs="Times New Roman"/>
          <w:szCs w:val="20"/>
          <w:lang w:val="hr-HR" w:eastAsia="en-GB"/>
        </w:rPr>
        <w:t>ih</w:t>
      </w:r>
      <w:r w:rsidRPr="00E244C4">
        <w:rPr>
          <w:rFonts w:eastAsia="Times New Roman" w:cs="Times New Roman"/>
          <w:szCs w:val="20"/>
          <w:lang w:val="hr-HR" w:eastAsia="en-GB"/>
        </w:rPr>
        <w:t xml:space="preserve"> segmen</w:t>
      </w:r>
      <w:r w:rsidR="00606960" w:rsidRPr="00E244C4">
        <w:rPr>
          <w:rFonts w:eastAsia="Times New Roman" w:cs="Times New Roman"/>
          <w:szCs w:val="20"/>
          <w:lang w:val="hr-HR" w:eastAsia="en-GB"/>
        </w:rPr>
        <w:t>a</w:t>
      </w:r>
      <w:r w:rsidRPr="00E244C4">
        <w:rPr>
          <w:rFonts w:eastAsia="Times New Roman" w:cs="Times New Roman"/>
          <w:szCs w:val="20"/>
          <w:lang w:val="hr-HR" w:eastAsia="en-GB"/>
        </w:rPr>
        <w:t>t</w:t>
      </w:r>
      <w:r w:rsidR="00606960" w:rsidRPr="00E244C4">
        <w:rPr>
          <w:rFonts w:eastAsia="Times New Roman" w:cs="Times New Roman"/>
          <w:szCs w:val="20"/>
          <w:lang w:val="hr-HR" w:eastAsia="en-GB"/>
        </w:rPr>
        <w:t>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svog </w:t>
      </w:r>
      <w:r w:rsidR="00797EE0" w:rsidRPr="00E244C4">
        <w:rPr>
          <w:rFonts w:eastAsia="Times New Roman" w:cs="Times New Roman"/>
          <w:szCs w:val="20"/>
          <w:lang w:val="hr-HR" w:eastAsia="en-GB"/>
        </w:rPr>
        <w:t>državn</w:t>
      </w:r>
      <w:r w:rsidRPr="00E244C4">
        <w:rPr>
          <w:rFonts w:eastAsia="Times New Roman" w:cs="Times New Roman"/>
          <w:szCs w:val="20"/>
          <w:lang w:val="hr-HR" w:eastAsia="en-GB"/>
        </w:rPr>
        <w:t>og okvira i nadležn</w:t>
      </w:r>
      <w:r w:rsidR="00606960" w:rsidRPr="00E244C4">
        <w:rPr>
          <w:rFonts w:eastAsia="Times New Roman" w:cs="Times New Roman"/>
          <w:szCs w:val="20"/>
          <w:lang w:val="hr-HR" w:eastAsia="en-GB"/>
        </w:rPr>
        <w:t>og</w:t>
      </w:r>
      <w:r w:rsidR="00292029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Pr="00E244C4">
        <w:rPr>
          <w:rFonts w:eastAsia="Times New Roman" w:cs="Times New Roman"/>
          <w:szCs w:val="20"/>
          <w:lang w:val="hr-HR" w:eastAsia="en-GB"/>
        </w:rPr>
        <w:t>regulatorn</w:t>
      </w:r>
      <w:r w:rsidR="00606960" w:rsidRPr="00E244C4">
        <w:rPr>
          <w:rFonts w:eastAsia="Times New Roman" w:cs="Times New Roman"/>
          <w:szCs w:val="20"/>
          <w:lang w:val="hr-HR" w:eastAsia="en-GB"/>
        </w:rPr>
        <w:t>og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83063C" w:rsidRPr="00E244C4">
        <w:rPr>
          <w:rFonts w:eastAsia="Times New Roman" w:cs="Times New Roman"/>
          <w:szCs w:val="20"/>
          <w:lang w:val="hr-HR" w:eastAsia="en-GB"/>
        </w:rPr>
        <w:t>organa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u cilju kontinuiranog unapređivanja nuklearne sigurnosti. </w:t>
      </w:r>
      <w:r w:rsidR="00F71B90" w:rsidRPr="00E244C4">
        <w:rPr>
          <w:rFonts w:eastAsia="Times New Roman" w:cs="Times New Roman"/>
          <w:szCs w:val="20"/>
          <w:lang w:val="hr-HR" w:eastAsia="en-GB"/>
        </w:rPr>
        <w:t xml:space="preserve">Kada rezultati </w:t>
      </w:r>
      <w:r w:rsidRPr="00E244C4">
        <w:rPr>
          <w:rFonts w:eastAsia="Times New Roman" w:cs="Times New Roman"/>
          <w:szCs w:val="20"/>
          <w:lang w:val="hr-HR" w:eastAsia="en-GB"/>
        </w:rPr>
        <w:t xml:space="preserve">takvih </w:t>
      </w:r>
      <w:r w:rsidR="00F71B90" w:rsidRPr="00E244C4">
        <w:rPr>
          <w:rFonts w:eastAsia="Times New Roman" w:cs="Times New Roman"/>
          <w:szCs w:val="20"/>
          <w:lang w:val="hr-HR" w:eastAsia="en-GB"/>
        </w:rPr>
        <w:t>preispitivanja u okviru struke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0E6EF1" w:rsidRPr="00E244C4">
        <w:rPr>
          <w:rFonts w:eastAsia="Times New Roman" w:cs="Times New Roman"/>
          <w:szCs w:val="20"/>
          <w:lang w:val="hr-HR" w:eastAsia="en-GB"/>
        </w:rPr>
        <w:t>budu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F71B90" w:rsidRPr="00E244C4">
        <w:rPr>
          <w:rFonts w:eastAsia="Times New Roman" w:cs="Times New Roman"/>
          <w:szCs w:val="20"/>
          <w:lang w:val="hr-HR" w:eastAsia="en-GB"/>
        </w:rPr>
        <w:t>na raspolaganju, o njima se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izvješ</w:t>
      </w:r>
      <w:r w:rsidR="000E6EF1" w:rsidRPr="00E244C4">
        <w:rPr>
          <w:rFonts w:eastAsia="Times New Roman" w:cs="Times New Roman"/>
          <w:szCs w:val="20"/>
          <w:lang w:val="hr-HR" w:eastAsia="en-GB"/>
        </w:rPr>
        <w:t>tavaju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države članice i Komisija.</w:t>
      </w:r>
    </w:p>
    <w:p w:rsidR="00797EE0" w:rsidRPr="00E244C4" w:rsidRDefault="00797EE0" w:rsidP="00797EE0">
      <w:pPr>
        <w:pStyle w:val="ListParagraph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797EE0">
      <w:pPr>
        <w:pStyle w:val="ListParagraph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Države članice osiguravaju da se na koordiniranoj osnovi:</w:t>
      </w:r>
    </w:p>
    <w:p w:rsidR="00797EE0" w:rsidRPr="00E244C4" w:rsidRDefault="00797EE0" w:rsidP="00797EE0">
      <w:pPr>
        <w:pStyle w:val="ListParagraph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797EE0">
      <w:pPr>
        <w:pStyle w:val="ListParagraph"/>
        <w:numPr>
          <w:ilvl w:val="0"/>
          <w:numId w:val="31"/>
        </w:numPr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provodi </w:t>
      </w:r>
      <w:r w:rsidR="00797EE0" w:rsidRPr="00E244C4">
        <w:rPr>
          <w:rFonts w:eastAsia="Times New Roman" w:cs="Times New Roman"/>
          <w:szCs w:val="20"/>
          <w:lang w:val="hr-HR" w:eastAsia="en-GB"/>
        </w:rPr>
        <w:t>državn</w:t>
      </w:r>
      <w:r w:rsidRPr="00E244C4">
        <w:rPr>
          <w:rFonts w:eastAsia="Times New Roman" w:cs="Times New Roman"/>
          <w:szCs w:val="20"/>
          <w:lang w:val="hr-HR" w:eastAsia="en-GB"/>
        </w:rPr>
        <w:t xml:space="preserve">a procjena na </w:t>
      </w:r>
      <w:r w:rsidR="006A4A57" w:rsidRPr="00E244C4">
        <w:rPr>
          <w:rFonts w:eastAsia="Times New Roman" w:cs="Times New Roman"/>
          <w:szCs w:val="20"/>
          <w:lang w:val="hr-HR" w:eastAsia="en-GB"/>
        </w:rPr>
        <w:t>osnovu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specifičn</w:t>
      </w:r>
      <w:r w:rsidR="00606960" w:rsidRPr="00E244C4">
        <w:rPr>
          <w:rFonts w:eastAsia="Times New Roman" w:cs="Times New Roman"/>
          <w:szCs w:val="20"/>
          <w:lang w:val="hr-HR" w:eastAsia="en-GB"/>
        </w:rPr>
        <w:t>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tem</w:t>
      </w:r>
      <w:r w:rsidR="00606960" w:rsidRPr="00E244C4">
        <w:rPr>
          <w:rFonts w:eastAsia="Times New Roman" w:cs="Times New Roman"/>
          <w:szCs w:val="20"/>
          <w:lang w:val="hr-HR" w:eastAsia="en-GB"/>
        </w:rPr>
        <w:t>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povezan</w:t>
      </w:r>
      <w:r w:rsidR="00606960" w:rsidRPr="00E244C4">
        <w:rPr>
          <w:rFonts w:eastAsia="Times New Roman" w:cs="Times New Roman"/>
          <w:szCs w:val="20"/>
          <w:lang w:val="hr-HR" w:eastAsia="en-GB"/>
        </w:rPr>
        <w:t>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s nuklearnom sigurnošću </w:t>
      </w:r>
      <w:r w:rsidR="00606960" w:rsidRPr="00E244C4">
        <w:rPr>
          <w:rFonts w:eastAsia="Times New Roman" w:cs="Times New Roman"/>
          <w:szCs w:val="20"/>
          <w:lang w:val="hr-HR" w:eastAsia="en-GB"/>
        </w:rPr>
        <w:t>relevantnih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nuklearnih </w:t>
      </w:r>
      <w:r w:rsidR="00753B05" w:rsidRPr="00E244C4">
        <w:rPr>
          <w:rFonts w:eastAsia="Times New Roman" w:cs="Times New Roman"/>
          <w:szCs w:val="20"/>
          <w:lang w:val="hr-HR" w:eastAsia="en-GB"/>
        </w:rPr>
        <w:t>objekata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na njihovom državnom području;</w:t>
      </w:r>
    </w:p>
    <w:p w:rsidR="00797EE0" w:rsidRPr="00E244C4" w:rsidRDefault="00797EE0" w:rsidP="00797EE0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797EE0">
      <w:pPr>
        <w:pStyle w:val="ListParagraph"/>
        <w:numPr>
          <w:ilvl w:val="0"/>
          <w:numId w:val="31"/>
        </w:numPr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pozovu sve druge države članice i Komisija kao p</w:t>
      </w:r>
      <w:r w:rsidR="0083063C" w:rsidRPr="00E244C4">
        <w:rPr>
          <w:rFonts w:eastAsia="Times New Roman" w:cs="Times New Roman"/>
          <w:szCs w:val="20"/>
          <w:lang w:val="hr-HR" w:eastAsia="en-GB"/>
        </w:rPr>
        <w:t>os</w:t>
      </w:r>
      <w:r w:rsidRPr="00E244C4">
        <w:rPr>
          <w:rFonts w:eastAsia="Times New Roman" w:cs="Times New Roman"/>
          <w:szCs w:val="20"/>
          <w:lang w:val="hr-HR" w:eastAsia="en-GB"/>
        </w:rPr>
        <w:t>matrač</w:t>
      </w:r>
      <w:r w:rsidR="00292029" w:rsidRPr="00E244C4">
        <w:rPr>
          <w:rFonts w:eastAsia="Times New Roman" w:cs="Times New Roman"/>
          <w:szCs w:val="20"/>
          <w:lang w:val="hr-HR" w:eastAsia="en-GB"/>
        </w:rPr>
        <w:t>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na </w:t>
      </w:r>
      <w:r w:rsidR="008711B9" w:rsidRPr="00E244C4">
        <w:rPr>
          <w:rFonts w:eastAsia="Times New Roman" w:cs="Times New Roman"/>
          <w:szCs w:val="20"/>
          <w:lang w:val="hr-HR" w:eastAsia="en-GB"/>
        </w:rPr>
        <w:t xml:space="preserve">stručno </w:t>
      </w:r>
      <w:r w:rsidR="0083063C" w:rsidRPr="00E244C4">
        <w:rPr>
          <w:rFonts w:eastAsia="Times New Roman" w:cs="Times New Roman"/>
          <w:szCs w:val="20"/>
          <w:lang w:val="hr-HR" w:eastAsia="en-GB"/>
        </w:rPr>
        <w:t>preispitivanje</w:t>
      </w:r>
      <w:r w:rsidR="00566791" w:rsidRPr="00E244C4">
        <w:rPr>
          <w:rFonts w:eastAsia="Times New Roman" w:cs="Times New Roman"/>
          <w:szCs w:val="20"/>
          <w:lang w:val="hr-HR" w:eastAsia="en-GB"/>
        </w:rPr>
        <w:t xml:space="preserve"> državne procjene iz tačke (a)</w:t>
      </w:r>
      <w:r w:rsidRPr="00E244C4">
        <w:rPr>
          <w:rFonts w:eastAsia="Times New Roman" w:cs="Times New Roman"/>
          <w:szCs w:val="20"/>
          <w:lang w:val="hr-HR" w:eastAsia="en-GB"/>
        </w:rPr>
        <w:t>;</w:t>
      </w:r>
    </w:p>
    <w:p w:rsidR="00797EE0" w:rsidRPr="00E244C4" w:rsidRDefault="00797EE0" w:rsidP="00797EE0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797EE0">
      <w:pPr>
        <w:pStyle w:val="ListParagraph"/>
        <w:numPr>
          <w:ilvl w:val="0"/>
          <w:numId w:val="31"/>
        </w:numPr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poduzmu odgovarajuće dalje mjere </w:t>
      </w:r>
      <w:r w:rsidR="00292029" w:rsidRPr="00E244C4">
        <w:rPr>
          <w:rFonts w:eastAsia="Times New Roman" w:cs="Times New Roman"/>
          <w:szCs w:val="20"/>
          <w:lang w:val="hr-HR" w:eastAsia="en-GB"/>
        </w:rPr>
        <w:t xml:space="preserve">na osnovu </w:t>
      </w:r>
      <w:r w:rsidRPr="00E244C4">
        <w:rPr>
          <w:rFonts w:eastAsia="Times New Roman" w:cs="Times New Roman"/>
          <w:szCs w:val="20"/>
          <w:lang w:val="hr-HR" w:eastAsia="en-GB"/>
        </w:rPr>
        <w:t>relevantnih rezultata</w:t>
      </w:r>
      <w:r w:rsidR="00292029" w:rsidRPr="00E244C4">
        <w:rPr>
          <w:rFonts w:eastAsia="Times New Roman" w:cs="Times New Roman"/>
          <w:szCs w:val="20"/>
          <w:lang w:val="hr-HR" w:eastAsia="en-GB"/>
        </w:rPr>
        <w:t xml:space="preserve"> procesa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8711B9" w:rsidRPr="00E244C4">
        <w:rPr>
          <w:rFonts w:eastAsia="Times New Roman" w:cs="Times New Roman"/>
          <w:szCs w:val="20"/>
          <w:lang w:val="hr-HR" w:eastAsia="en-GB"/>
        </w:rPr>
        <w:t>stručn</w:t>
      </w:r>
      <w:r w:rsidR="00606960" w:rsidRPr="00E244C4">
        <w:rPr>
          <w:rFonts w:eastAsia="Times New Roman" w:cs="Times New Roman"/>
          <w:szCs w:val="20"/>
          <w:lang w:val="hr-HR" w:eastAsia="en-GB"/>
        </w:rPr>
        <w:t>og</w:t>
      </w:r>
      <w:r w:rsidR="008711B9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967789" w:rsidRPr="00E244C4">
        <w:rPr>
          <w:rFonts w:eastAsia="Times New Roman" w:cs="Times New Roman"/>
          <w:szCs w:val="20"/>
          <w:lang w:val="hr-HR" w:eastAsia="en-GB"/>
        </w:rPr>
        <w:t>preispitivanja</w:t>
      </w:r>
      <w:r w:rsidRPr="00E244C4">
        <w:rPr>
          <w:rFonts w:eastAsia="Times New Roman" w:cs="Times New Roman"/>
          <w:szCs w:val="20"/>
          <w:lang w:val="hr-HR" w:eastAsia="en-GB"/>
        </w:rPr>
        <w:t>;</w:t>
      </w:r>
    </w:p>
    <w:p w:rsidR="00797EE0" w:rsidRPr="00E244C4" w:rsidRDefault="00797EE0" w:rsidP="00797EE0">
      <w:pPr>
        <w:pStyle w:val="ListParagraph"/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797EE0">
      <w:pPr>
        <w:pStyle w:val="ListParagraph"/>
        <w:numPr>
          <w:ilvl w:val="0"/>
          <w:numId w:val="31"/>
        </w:numPr>
        <w:tabs>
          <w:tab w:val="left" w:pos="851"/>
        </w:tabs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objave odgovarajuć</w:t>
      </w:r>
      <w:r w:rsidR="00797EE0" w:rsidRPr="00E244C4">
        <w:rPr>
          <w:rFonts w:eastAsia="Times New Roman" w:cs="Times New Roman"/>
          <w:szCs w:val="20"/>
          <w:lang w:val="hr-HR" w:eastAsia="en-GB"/>
        </w:rPr>
        <w:t>e izvještaje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o gore navedenom p</w:t>
      </w:r>
      <w:r w:rsidR="00292029" w:rsidRPr="00E244C4">
        <w:rPr>
          <w:rFonts w:eastAsia="Times New Roman" w:cs="Times New Roman"/>
          <w:szCs w:val="20"/>
          <w:lang w:val="hr-HR" w:eastAsia="en-GB"/>
        </w:rPr>
        <w:t>rocesu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 njegovom glavnom </w:t>
      </w:r>
      <w:r w:rsidR="00292029" w:rsidRPr="00E244C4">
        <w:rPr>
          <w:rFonts w:eastAsia="Times New Roman" w:cs="Times New Roman"/>
          <w:szCs w:val="20"/>
          <w:lang w:val="hr-HR" w:eastAsia="en-GB"/>
        </w:rPr>
        <w:t>ishodu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kada rezultati </w:t>
      </w:r>
      <w:r w:rsidR="00797EE0" w:rsidRPr="00E244C4">
        <w:rPr>
          <w:rFonts w:eastAsia="Times New Roman" w:cs="Times New Roman"/>
          <w:szCs w:val="20"/>
          <w:lang w:val="hr-HR" w:eastAsia="en-GB"/>
        </w:rPr>
        <w:t xml:space="preserve">budu </w:t>
      </w:r>
      <w:r w:rsidRPr="00E244C4">
        <w:rPr>
          <w:rFonts w:eastAsia="Times New Roman" w:cs="Times New Roman"/>
          <w:szCs w:val="20"/>
          <w:lang w:val="hr-HR" w:eastAsia="en-GB"/>
        </w:rPr>
        <w:t>dostupni.</w:t>
      </w:r>
    </w:p>
    <w:p w:rsidR="00ED725B" w:rsidRPr="00E244C4" w:rsidRDefault="00ED725B" w:rsidP="005270DE">
      <w:pPr>
        <w:ind w:hanging="600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797EE0">
      <w:pPr>
        <w:pStyle w:val="ListParagraph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lastRenderedPageBreak/>
        <w:t xml:space="preserve">Države članice osiguravaju </w:t>
      </w:r>
      <w:r w:rsidR="00606960" w:rsidRPr="00E244C4">
        <w:rPr>
          <w:rFonts w:eastAsia="Times New Roman" w:cs="Times New Roman"/>
          <w:szCs w:val="20"/>
          <w:lang w:val="hr-HR" w:eastAsia="en-GB"/>
        </w:rPr>
        <w:t>uspostavljanje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mehaniz</w:t>
      </w:r>
      <w:r w:rsidR="00606960" w:rsidRPr="00E244C4">
        <w:rPr>
          <w:rFonts w:eastAsia="Times New Roman" w:cs="Times New Roman"/>
          <w:szCs w:val="20"/>
          <w:lang w:val="hr-HR" w:eastAsia="en-GB"/>
        </w:rPr>
        <w:t>a</w:t>
      </w:r>
      <w:r w:rsidRPr="00E244C4">
        <w:rPr>
          <w:rFonts w:eastAsia="Times New Roman" w:cs="Times New Roman"/>
          <w:szCs w:val="20"/>
          <w:lang w:val="hr-HR" w:eastAsia="en-GB"/>
        </w:rPr>
        <w:t>m</w:t>
      </w:r>
      <w:r w:rsidR="00606960" w:rsidRPr="00E244C4">
        <w:rPr>
          <w:rFonts w:eastAsia="Times New Roman" w:cs="Times New Roman"/>
          <w:szCs w:val="20"/>
          <w:lang w:val="hr-HR" w:eastAsia="en-GB"/>
        </w:rPr>
        <w:t>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koji omoguć</w:t>
      </w:r>
      <w:r w:rsidR="00797EE0" w:rsidRPr="00E244C4">
        <w:rPr>
          <w:rFonts w:eastAsia="Times New Roman" w:cs="Times New Roman"/>
          <w:szCs w:val="20"/>
          <w:lang w:val="hr-HR" w:eastAsia="en-GB"/>
        </w:rPr>
        <w:t>ava</w:t>
      </w:r>
      <w:r w:rsidRPr="00E244C4">
        <w:rPr>
          <w:rFonts w:eastAsia="Times New Roman" w:cs="Times New Roman"/>
          <w:szCs w:val="20"/>
          <w:lang w:val="hr-HR" w:eastAsia="en-GB"/>
        </w:rPr>
        <w:t>ju da prv</w:t>
      </w:r>
      <w:r w:rsidR="00292029" w:rsidRPr="00E244C4">
        <w:rPr>
          <w:rFonts w:eastAsia="Times New Roman" w:cs="Times New Roman"/>
          <w:szCs w:val="20"/>
          <w:lang w:val="hr-HR" w:eastAsia="en-GB"/>
        </w:rPr>
        <w:t>o</w:t>
      </w:r>
      <w:r w:rsidRPr="00E244C4">
        <w:rPr>
          <w:rFonts w:eastAsia="Times New Roman" w:cs="Times New Roman"/>
          <w:szCs w:val="20"/>
          <w:lang w:val="hr-HR" w:eastAsia="en-GB"/>
        </w:rPr>
        <w:t xml:space="preserve"> tematsk</w:t>
      </w:r>
      <w:r w:rsidR="00292029" w:rsidRPr="00E244C4">
        <w:rPr>
          <w:rFonts w:eastAsia="Times New Roman" w:cs="Times New Roman"/>
          <w:szCs w:val="20"/>
          <w:lang w:val="hr-HR" w:eastAsia="en-GB"/>
        </w:rPr>
        <w:t xml:space="preserve">o </w:t>
      </w:r>
      <w:r w:rsidR="00606960" w:rsidRPr="00E244C4">
        <w:rPr>
          <w:rFonts w:eastAsia="Times New Roman" w:cs="Times New Roman"/>
          <w:szCs w:val="20"/>
          <w:lang w:val="hr-HR" w:eastAsia="en-GB"/>
        </w:rPr>
        <w:t xml:space="preserve">stručno </w:t>
      </w:r>
      <w:r w:rsidR="00292029" w:rsidRPr="00E244C4">
        <w:rPr>
          <w:rFonts w:eastAsia="Times New Roman" w:cs="Times New Roman"/>
          <w:szCs w:val="20"/>
          <w:lang w:val="hr-HR" w:eastAsia="en-GB"/>
        </w:rPr>
        <w:t xml:space="preserve">preispitivanje </w:t>
      </w:r>
      <w:r w:rsidRPr="00E244C4">
        <w:rPr>
          <w:rFonts w:eastAsia="Times New Roman" w:cs="Times New Roman"/>
          <w:szCs w:val="20"/>
          <w:lang w:val="hr-HR" w:eastAsia="en-GB"/>
        </w:rPr>
        <w:t xml:space="preserve">započne 2017. </w:t>
      </w:r>
      <w:r w:rsidR="00797EE0" w:rsidRPr="00E244C4">
        <w:rPr>
          <w:rFonts w:eastAsia="Times New Roman" w:cs="Times New Roman"/>
          <w:szCs w:val="20"/>
          <w:lang w:val="hr-HR" w:eastAsia="en-GB"/>
        </w:rPr>
        <w:t xml:space="preserve">godine </w:t>
      </w:r>
      <w:r w:rsidRPr="00E244C4">
        <w:rPr>
          <w:rFonts w:eastAsia="Times New Roman" w:cs="Times New Roman"/>
          <w:szCs w:val="20"/>
          <w:lang w:val="hr-HR" w:eastAsia="en-GB"/>
        </w:rPr>
        <w:t>i da se nakon toga dalj</w:t>
      </w:r>
      <w:r w:rsidR="00292029" w:rsidRPr="00E244C4">
        <w:rPr>
          <w:rFonts w:eastAsia="Times New Roman" w:cs="Times New Roman"/>
          <w:szCs w:val="20"/>
          <w:lang w:val="hr-HR" w:eastAsia="en-GB"/>
        </w:rPr>
        <w:t>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292029" w:rsidRPr="00E244C4">
        <w:rPr>
          <w:rFonts w:eastAsia="Times New Roman" w:cs="Times New Roman"/>
          <w:szCs w:val="20"/>
          <w:lang w:val="hr-HR" w:eastAsia="en-GB"/>
        </w:rPr>
        <w:t xml:space="preserve">tematska </w:t>
      </w:r>
      <w:r w:rsidR="00606960" w:rsidRPr="00E244C4">
        <w:rPr>
          <w:rFonts w:eastAsia="Times New Roman" w:cs="Times New Roman"/>
          <w:szCs w:val="20"/>
          <w:lang w:val="hr-HR" w:eastAsia="en-GB"/>
        </w:rPr>
        <w:t xml:space="preserve">stručna </w:t>
      </w:r>
      <w:r w:rsidR="00292029" w:rsidRPr="00E244C4">
        <w:rPr>
          <w:rFonts w:eastAsia="Times New Roman" w:cs="Times New Roman"/>
          <w:szCs w:val="20"/>
          <w:lang w:val="hr-HR" w:eastAsia="en-GB"/>
        </w:rPr>
        <w:t xml:space="preserve">preispitivanja </w:t>
      </w:r>
      <w:r w:rsidRPr="00E244C4">
        <w:rPr>
          <w:rFonts w:eastAsia="Times New Roman" w:cs="Times New Roman"/>
          <w:szCs w:val="20"/>
          <w:lang w:val="hr-HR" w:eastAsia="en-GB"/>
        </w:rPr>
        <w:t>provod</w:t>
      </w:r>
      <w:r w:rsidR="00292029" w:rsidRPr="00E244C4">
        <w:rPr>
          <w:rFonts w:eastAsia="Times New Roman" w:cs="Times New Roman"/>
          <w:szCs w:val="20"/>
          <w:lang w:val="hr-HR" w:eastAsia="en-GB"/>
        </w:rPr>
        <w:t>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najmanje svakih šest godina.</w:t>
      </w:r>
    </w:p>
    <w:p w:rsidR="00ED725B" w:rsidRPr="00E244C4" w:rsidRDefault="00ED725B" w:rsidP="00797EE0">
      <w:pPr>
        <w:pStyle w:val="ListParagraph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797EE0">
      <w:pPr>
        <w:pStyle w:val="ListParagraph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U slučaju </w:t>
      </w:r>
      <w:r w:rsidR="00292029" w:rsidRPr="00E244C4">
        <w:rPr>
          <w:rFonts w:eastAsia="Times New Roman" w:cs="Times New Roman"/>
          <w:szCs w:val="20"/>
          <w:lang w:val="hr-HR" w:eastAsia="en-GB"/>
        </w:rPr>
        <w:t>akcidenta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koj</w:t>
      </w:r>
      <w:r w:rsidR="00292029" w:rsidRPr="00E244C4">
        <w:rPr>
          <w:rFonts w:eastAsia="Times New Roman" w:cs="Times New Roman"/>
          <w:szCs w:val="20"/>
          <w:lang w:val="hr-HR" w:eastAsia="en-GB"/>
        </w:rPr>
        <w:t>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je dove</w:t>
      </w:r>
      <w:r w:rsidR="00292029" w:rsidRPr="00E244C4">
        <w:rPr>
          <w:rFonts w:eastAsia="Times New Roman" w:cs="Times New Roman"/>
          <w:szCs w:val="20"/>
          <w:lang w:val="hr-HR" w:eastAsia="en-GB"/>
        </w:rPr>
        <w:t>o</w:t>
      </w:r>
      <w:r w:rsidRPr="00E244C4">
        <w:rPr>
          <w:rFonts w:eastAsia="Times New Roman" w:cs="Times New Roman"/>
          <w:szCs w:val="20"/>
          <w:lang w:val="hr-HR" w:eastAsia="en-GB"/>
        </w:rPr>
        <w:t xml:space="preserve"> do situacije koja bi zahtijevala mjere </w:t>
      </w:r>
      <w:r w:rsidR="00606960" w:rsidRPr="00E244C4">
        <w:rPr>
          <w:rFonts w:eastAsia="Times New Roman" w:cs="Times New Roman"/>
          <w:szCs w:val="20"/>
          <w:lang w:val="hr-HR" w:eastAsia="en-GB"/>
        </w:rPr>
        <w:t>za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0E6EF1" w:rsidRPr="00E244C4">
        <w:rPr>
          <w:rFonts w:eastAsia="Times New Roman" w:cs="Times New Roman"/>
          <w:szCs w:val="20"/>
          <w:lang w:val="hr-HR" w:eastAsia="en-GB"/>
        </w:rPr>
        <w:t>vanred</w:t>
      </w:r>
      <w:r w:rsidRPr="00E244C4">
        <w:rPr>
          <w:rFonts w:eastAsia="Times New Roman" w:cs="Times New Roman"/>
          <w:szCs w:val="20"/>
          <w:lang w:val="hr-HR" w:eastAsia="en-GB"/>
        </w:rPr>
        <w:t>n</w:t>
      </w:r>
      <w:r w:rsidR="00606960" w:rsidRPr="00E244C4">
        <w:rPr>
          <w:rFonts w:eastAsia="Times New Roman" w:cs="Times New Roman"/>
          <w:szCs w:val="20"/>
          <w:lang w:val="hr-HR" w:eastAsia="en-GB"/>
        </w:rPr>
        <w:t>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događaj izvan lokacije</w:t>
      </w:r>
      <w:r w:rsidR="00292029" w:rsidRPr="00E244C4">
        <w:rPr>
          <w:rFonts w:eastAsia="Times New Roman" w:cs="Times New Roman"/>
          <w:szCs w:val="20"/>
          <w:lang w:val="hr-HR" w:eastAsia="en-GB"/>
        </w:rPr>
        <w:t xml:space="preserve"> objekta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ili zaštitne mjere za </w:t>
      </w:r>
      <w:r w:rsidR="00292029" w:rsidRPr="00E244C4">
        <w:rPr>
          <w:rFonts w:eastAsia="Times New Roman" w:cs="Times New Roman"/>
          <w:szCs w:val="20"/>
          <w:lang w:val="hr-HR" w:eastAsia="en-GB"/>
        </w:rPr>
        <w:t>stanovništvo</w:t>
      </w:r>
      <w:r w:rsidRPr="00E244C4">
        <w:rPr>
          <w:rFonts w:eastAsia="Times New Roman" w:cs="Times New Roman"/>
          <w:szCs w:val="20"/>
          <w:lang w:val="hr-HR" w:eastAsia="en-GB"/>
        </w:rPr>
        <w:t xml:space="preserve">, dotična država članica osigurava da se bez nepotrebnog odgađanja pozove </w:t>
      </w:r>
      <w:r w:rsidR="00292029" w:rsidRPr="00E244C4">
        <w:rPr>
          <w:rFonts w:eastAsia="Times New Roman" w:cs="Times New Roman"/>
          <w:szCs w:val="20"/>
          <w:lang w:val="hr-HR" w:eastAsia="en-GB"/>
        </w:rPr>
        <w:t xml:space="preserve">na </w:t>
      </w:r>
      <w:r w:rsidRPr="00E244C4">
        <w:rPr>
          <w:rFonts w:eastAsia="Times New Roman" w:cs="Times New Roman"/>
          <w:szCs w:val="20"/>
          <w:lang w:val="hr-HR" w:eastAsia="en-GB"/>
        </w:rPr>
        <w:t>međunarodn</w:t>
      </w:r>
      <w:r w:rsidR="00292029" w:rsidRPr="00E244C4">
        <w:rPr>
          <w:rFonts w:eastAsia="Times New Roman" w:cs="Times New Roman"/>
          <w:szCs w:val="20"/>
          <w:lang w:val="hr-HR" w:eastAsia="en-GB"/>
        </w:rPr>
        <w:t xml:space="preserve">o </w:t>
      </w:r>
      <w:r w:rsidR="00606960" w:rsidRPr="00E244C4">
        <w:rPr>
          <w:rFonts w:eastAsia="Times New Roman" w:cs="Times New Roman"/>
          <w:szCs w:val="20"/>
          <w:lang w:val="hr-HR" w:eastAsia="en-GB"/>
        </w:rPr>
        <w:t xml:space="preserve">stručno </w:t>
      </w:r>
      <w:r w:rsidR="00E244C4" w:rsidRPr="00E244C4">
        <w:rPr>
          <w:rFonts w:eastAsia="Times New Roman" w:cs="Times New Roman"/>
          <w:szCs w:val="20"/>
          <w:lang w:val="hr-HR" w:eastAsia="en-GB"/>
        </w:rPr>
        <w:t>preispitivanje</w:t>
      </w:r>
      <w:r w:rsidRPr="00E244C4">
        <w:rPr>
          <w:rFonts w:eastAsia="Times New Roman" w:cs="Times New Roman"/>
          <w:szCs w:val="20"/>
          <w:lang w:val="hr-HR" w:eastAsia="en-GB"/>
        </w:rPr>
        <w:t>.</w:t>
      </w:r>
    </w:p>
    <w:p w:rsidR="00ED725B" w:rsidRPr="00E244C4" w:rsidRDefault="00ED725B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ED725B">
      <w:pPr>
        <w:jc w:val="center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Član 9.</w:t>
      </w:r>
    </w:p>
    <w:p w:rsidR="00371F52" w:rsidRPr="00E244C4" w:rsidRDefault="00371F52" w:rsidP="00ED725B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E244C4">
        <w:rPr>
          <w:rFonts w:eastAsia="Times New Roman" w:cs="Times New Roman"/>
          <w:b/>
          <w:szCs w:val="20"/>
          <w:lang w:val="hr-HR" w:eastAsia="en-GB"/>
        </w:rPr>
        <w:t>Izvješ</w:t>
      </w:r>
      <w:r w:rsidR="00ED725B" w:rsidRPr="00E244C4">
        <w:rPr>
          <w:rFonts w:eastAsia="Times New Roman" w:cs="Times New Roman"/>
          <w:b/>
          <w:szCs w:val="20"/>
          <w:lang w:val="hr-HR" w:eastAsia="en-GB"/>
        </w:rPr>
        <w:t>ta</w:t>
      </w:r>
      <w:r w:rsidRPr="00E244C4">
        <w:rPr>
          <w:rFonts w:eastAsia="Times New Roman" w:cs="Times New Roman"/>
          <w:b/>
          <w:szCs w:val="20"/>
          <w:lang w:val="hr-HR" w:eastAsia="en-GB"/>
        </w:rPr>
        <w:t>vanje</w:t>
      </w:r>
    </w:p>
    <w:p w:rsidR="00ED725B" w:rsidRPr="00E244C4" w:rsidRDefault="00ED725B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797EE0">
      <w:pPr>
        <w:pStyle w:val="ListParagraph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Države članice podnose izvješ</w:t>
      </w:r>
      <w:r w:rsidR="00ED3AE0" w:rsidRPr="00E244C4">
        <w:rPr>
          <w:rFonts w:eastAsia="Times New Roman" w:cs="Times New Roman"/>
          <w:szCs w:val="20"/>
          <w:lang w:val="hr-HR" w:eastAsia="en-GB"/>
        </w:rPr>
        <w:t>taj Komisiji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o prov</w:t>
      </w:r>
      <w:r w:rsidR="00497F15" w:rsidRPr="00E244C4">
        <w:rPr>
          <w:rFonts w:eastAsia="Times New Roman" w:cs="Times New Roman"/>
          <w:szCs w:val="20"/>
          <w:lang w:val="hr-HR" w:eastAsia="en-GB"/>
        </w:rPr>
        <w:t>ođenju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ove </w:t>
      </w:r>
      <w:r w:rsidR="00497F15" w:rsidRPr="00E244C4">
        <w:rPr>
          <w:rFonts w:eastAsia="Times New Roman" w:cs="Times New Roman"/>
          <w:szCs w:val="20"/>
          <w:lang w:val="hr-HR" w:eastAsia="en-GB"/>
        </w:rPr>
        <w:t>d</w:t>
      </w:r>
      <w:r w:rsidRPr="00E244C4">
        <w:rPr>
          <w:rFonts w:eastAsia="Times New Roman" w:cs="Times New Roman"/>
          <w:szCs w:val="20"/>
          <w:lang w:val="hr-HR" w:eastAsia="en-GB"/>
        </w:rPr>
        <w:t xml:space="preserve">irektive prvi put do 22. </w:t>
      </w:r>
      <w:r w:rsidR="00497F15" w:rsidRPr="00E244C4">
        <w:rPr>
          <w:rFonts w:eastAsia="Times New Roman" w:cs="Times New Roman"/>
          <w:szCs w:val="20"/>
          <w:lang w:val="hr-HR" w:eastAsia="en-GB"/>
        </w:rPr>
        <w:t>jula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2014.</w:t>
      </w:r>
      <w:r w:rsidR="00497F15" w:rsidRPr="00E244C4">
        <w:rPr>
          <w:rFonts w:eastAsia="Times New Roman" w:cs="Times New Roman"/>
          <w:szCs w:val="20"/>
          <w:lang w:val="hr-HR" w:eastAsia="en-GB"/>
        </w:rPr>
        <w:t xml:space="preserve"> godine</w:t>
      </w:r>
      <w:r w:rsidRPr="00E244C4">
        <w:rPr>
          <w:rFonts w:eastAsia="Times New Roman" w:cs="Times New Roman"/>
          <w:szCs w:val="20"/>
          <w:lang w:val="hr-HR" w:eastAsia="en-GB"/>
        </w:rPr>
        <w:t xml:space="preserve">, a zatim do 22. </w:t>
      </w:r>
      <w:r w:rsidR="00497F15" w:rsidRPr="00E244C4">
        <w:rPr>
          <w:rFonts w:eastAsia="Times New Roman" w:cs="Times New Roman"/>
          <w:szCs w:val="20"/>
          <w:lang w:val="hr-HR" w:eastAsia="en-GB"/>
        </w:rPr>
        <w:t>jula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2020.</w:t>
      </w:r>
      <w:r w:rsidR="00497F15" w:rsidRPr="00E244C4">
        <w:rPr>
          <w:rFonts w:eastAsia="Times New Roman" w:cs="Times New Roman"/>
          <w:szCs w:val="20"/>
          <w:lang w:val="hr-HR" w:eastAsia="en-GB"/>
        </w:rPr>
        <w:t xml:space="preserve"> godine.</w:t>
      </w:r>
    </w:p>
    <w:p w:rsidR="00497F15" w:rsidRPr="00E244C4" w:rsidRDefault="00497F15" w:rsidP="00797EE0">
      <w:pPr>
        <w:pStyle w:val="ListParagraph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797EE0">
      <w:pPr>
        <w:pStyle w:val="ListParagraph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 Na </w:t>
      </w:r>
      <w:r w:rsidR="00497F15" w:rsidRPr="00E244C4">
        <w:rPr>
          <w:rFonts w:eastAsia="Times New Roman" w:cs="Times New Roman"/>
          <w:szCs w:val="20"/>
          <w:lang w:val="hr-HR" w:eastAsia="en-GB"/>
        </w:rPr>
        <w:t>osnovu izvještaja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497F15" w:rsidRPr="00E244C4">
        <w:rPr>
          <w:rFonts w:eastAsia="Times New Roman" w:cs="Times New Roman"/>
          <w:szCs w:val="20"/>
          <w:lang w:val="hr-HR" w:eastAsia="en-GB"/>
        </w:rPr>
        <w:t>koje dobije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od država članica, Komisija podnosi Vijeću i E</w:t>
      </w:r>
      <w:r w:rsidR="00497F15" w:rsidRPr="00E244C4">
        <w:rPr>
          <w:rFonts w:eastAsia="Times New Roman" w:cs="Times New Roman"/>
          <w:szCs w:val="20"/>
          <w:lang w:val="hr-HR" w:eastAsia="en-GB"/>
        </w:rPr>
        <w:t xml:space="preserve">vropskom parlamentu izvještaj </w:t>
      </w:r>
      <w:r w:rsidRPr="00E244C4">
        <w:rPr>
          <w:rFonts w:eastAsia="Times New Roman" w:cs="Times New Roman"/>
          <w:szCs w:val="20"/>
          <w:lang w:val="hr-HR" w:eastAsia="en-GB"/>
        </w:rPr>
        <w:t>o napretku postignutom u pro</w:t>
      </w:r>
      <w:r w:rsidR="00497F15" w:rsidRPr="00E244C4">
        <w:rPr>
          <w:rFonts w:eastAsia="Times New Roman" w:cs="Times New Roman"/>
          <w:szCs w:val="20"/>
          <w:lang w:val="hr-HR" w:eastAsia="en-GB"/>
        </w:rPr>
        <w:t>vođenju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ove </w:t>
      </w:r>
      <w:r w:rsidR="00497F15" w:rsidRPr="00E244C4">
        <w:rPr>
          <w:rFonts w:eastAsia="Times New Roman" w:cs="Times New Roman"/>
          <w:szCs w:val="20"/>
          <w:lang w:val="hr-HR" w:eastAsia="en-GB"/>
        </w:rPr>
        <w:t>d</w:t>
      </w:r>
      <w:r w:rsidRPr="00E244C4">
        <w:rPr>
          <w:rFonts w:eastAsia="Times New Roman" w:cs="Times New Roman"/>
          <w:szCs w:val="20"/>
          <w:lang w:val="hr-HR" w:eastAsia="en-GB"/>
        </w:rPr>
        <w:t>irektive.</w:t>
      </w:r>
    </w:p>
    <w:p w:rsidR="00371F52" w:rsidRPr="00E244C4" w:rsidRDefault="00371F52" w:rsidP="005270DE">
      <w:pPr>
        <w:rPr>
          <w:rFonts w:eastAsia="Times New Roman" w:cs="Times New Roman"/>
          <w:szCs w:val="20"/>
          <w:lang w:val="hr-HR" w:eastAsia="en-GB"/>
        </w:rPr>
      </w:pPr>
    </w:p>
    <w:p w:rsidR="00497F15" w:rsidRPr="00E244C4" w:rsidRDefault="00497F15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497F15">
      <w:pPr>
        <w:jc w:val="center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POGLAVLJE 3.</w:t>
      </w:r>
    </w:p>
    <w:p w:rsidR="00371F52" w:rsidRPr="00E244C4" w:rsidRDefault="00371F52" w:rsidP="00497F15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E244C4">
        <w:rPr>
          <w:rFonts w:eastAsia="Times New Roman" w:cs="Times New Roman"/>
          <w:b/>
          <w:szCs w:val="20"/>
          <w:lang w:val="hr-HR" w:eastAsia="en-GB"/>
        </w:rPr>
        <w:t>ZAVRŠNE ODREDBE</w:t>
      </w:r>
    </w:p>
    <w:p w:rsidR="00A63118" w:rsidRPr="00E244C4" w:rsidRDefault="00A63118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A63118">
      <w:pPr>
        <w:jc w:val="center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Član 10.</w:t>
      </w:r>
    </w:p>
    <w:p w:rsidR="00371F52" w:rsidRPr="00E244C4" w:rsidRDefault="007B7B3B" w:rsidP="00A63118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E244C4">
        <w:rPr>
          <w:rFonts w:eastAsia="Times New Roman" w:cs="Times New Roman"/>
          <w:b/>
          <w:szCs w:val="20"/>
          <w:lang w:val="hr-HR" w:eastAsia="en-GB"/>
        </w:rPr>
        <w:t>Transpozicija</w:t>
      </w:r>
    </w:p>
    <w:p w:rsidR="00A63118" w:rsidRPr="00E244C4" w:rsidRDefault="00A63118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A63118">
      <w:pPr>
        <w:pStyle w:val="ListParagraph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Države članice donose zakone i druge propise potrebne za usklađi</w:t>
      </w:r>
      <w:r w:rsidR="00A63118" w:rsidRPr="00E244C4">
        <w:rPr>
          <w:rFonts w:eastAsia="Times New Roman" w:cs="Times New Roman"/>
          <w:szCs w:val="20"/>
          <w:lang w:val="hr-HR" w:eastAsia="en-GB"/>
        </w:rPr>
        <w:t>vanje s ovom direktivom do 22. jula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2011. One o tome odmah obavješ</w:t>
      </w:r>
      <w:r w:rsidR="00A63118" w:rsidRPr="00E244C4">
        <w:rPr>
          <w:rFonts w:eastAsia="Times New Roman" w:cs="Times New Roman"/>
          <w:szCs w:val="20"/>
          <w:lang w:val="hr-HR" w:eastAsia="en-GB"/>
        </w:rPr>
        <w:t>tavaju</w:t>
      </w:r>
      <w:r w:rsidRPr="00E244C4">
        <w:rPr>
          <w:rFonts w:eastAsia="Times New Roman" w:cs="Times New Roman"/>
          <w:szCs w:val="20"/>
          <w:lang w:val="hr-HR" w:eastAsia="en-GB"/>
        </w:rPr>
        <w:t xml:space="preserve"> Komisiju.</w:t>
      </w:r>
    </w:p>
    <w:p w:rsidR="00A63118" w:rsidRPr="00E244C4" w:rsidRDefault="00A63118" w:rsidP="00A63118">
      <w:pPr>
        <w:pStyle w:val="ListParagraph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95374" w:rsidP="00395374">
      <w:pPr>
        <w:pStyle w:val="ListParagraph"/>
        <w:widowControl w:val="0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Cambria"/>
          <w:color w:val="1A171C"/>
          <w:szCs w:val="20"/>
          <w:lang w:val="hr-HR"/>
        </w:rPr>
        <w:t>Kada države članice usvoje te odredbe, one moraju sadržavati referencu na ovu direktivu ili se uz njih navodi takva referenca prilikom službene objave. Države članice određuju način navođenja reference.</w:t>
      </w:r>
    </w:p>
    <w:p w:rsidR="00A63118" w:rsidRPr="00E244C4" w:rsidRDefault="00A63118" w:rsidP="00A63118">
      <w:pPr>
        <w:pStyle w:val="ListParagraph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7B7B3B">
      <w:pPr>
        <w:pStyle w:val="ListParagraph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1.a.</w:t>
      </w:r>
      <w:r w:rsidR="00E244C4">
        <w:rPr>
          <w:rFonts w:eastAsia="Times New Roman" w:cs="Times New Roman"/>
          <w:szCs w:val="20"/>
          <w:lang w:val="hr-HR" w:eastAsia="en-GB"/>
        </w:rPr>
        <w:t xml:space="preserve"> </w:t>
      </w:r>
      <w:r w:rsidRPr="00E244C4">
        <w:rPr>
          <w:rFonts w:eastAsia="Times New Roman" w:cs="Times New Roman"/>
          <w:szCs w:val="20"/>
          <w:lang w:val="hr-HR" w:eastAsia="en-GB"/>
        </w:rPr>
        <w:t>Ob</w:t>
      </w:r>
      <w:r w:rsidR="007B7B3B" w:rsidRPr="00E244C4">
        <w:rPr>
          <w:rFonts w:eastAsia="Times New Roman" w:cs="Times New Roman"/>
          <w:szCs w:val="20"/>
          <w:lang w:val="hr-HR" w:eastAsia="en-GB"/>
        </w:rPr>
        <w:t>a</w:t>
      </w:r>
      <w:r w:rsidRPr="00E244C4">
        <w:rPr>
          <w:rFonts w:eastAsia="Times New Roman" w:cs="Times New Roman"/>
          <w:szCs w:val="20"/>
          <w:lang w:val="hr-HR" w:eastAsia="en-GB"/>
        </w:rPr>
        <w:t xml:space="preserve">veze </w:t>
      </w:r>
      <w:r w:rsidR="007B7B3B" w:rsidRPr="00E244C4">
        <w:rPr>
          <w:rFonts w:eastAsia="Times New Roman" w:cs="Times New Roman"/>
          <w:szCs w:val="20"/>
          <w:lang w:val="hr-HR" w:eastAsia="en-GB"/>
        </w:rPr>
        <w:t>transpozicije i provođenja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čl</w:t>
      </w:r>
      <w:r w:rsidR="00395374" w:rsidRPr="00E244C4">
        <w:rPr>
          <w:rFonts w:eastAsia="Times New Roman" w:cs="Times New Roman"/>
          <w:szCs w:val="20"/>
          <w:lang w:val="hr-HR" w:eastAsia="en-GB"/>
        </w:rPr>
        <w:t>anova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6</w:t>
      </w:r>
      <w:r w:rsidR="00ED725B" w:rsidRPr="00E244C4">
        <w:rPr>
          <w:rFonts w:eastAsia="Times New Roman" w:cs="Times New Roman"/>
          <w:szCs w:val="20"/>
          <w:lang w:val="hr-HR" w:eastAsia="en-GB"/>
        </w:rPr>
        <w:t>,</w:t>
      </w:r>
      <w:r w:rsidR="00643229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Pr="00E244C4">
        <w:rPr>
          <w:rFonts w:eastAsia="Times New Roman" w:cs="Times New Roman"/>
          <w:szCs w:val="20"/>
          <w:lang w:val="hr-HR" w:eastAsia="en-GB"/>
        </w:rPr>
        <w:t>8</w:t>
      </w:r>
      <w:r w:rsidR="00ED725B" w:rsidRPr="00E244C4">
        <w:rPr>
          <w:rFonts w:eastAsia="Times New Roman" w:cs="Times New Roman"/>
          <w:szCs w:val="20"/>
          <w:lang w:val="hr-HR" w:eastAsia="en-GB"/>
        </w:rPr>
        <w:t>a, 8b, 8c i 8d</w:t>
      </w:r>
      <w:r w:rsidR="00643229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Pr="00E244C4">
        <w:rPr>
          <w:rFonts w:eastAsia="Times New Roman" w:cs="Times New Roman"/>
          <w:szCs w:val="20"/>
          <w:lang w:val="hr-HR" w:eastAsia="en-GB"/>
        </w:rPr>
        <w:t>ne primjenjuju se na države članice koje nemaju nuklearn</w:t>
      </w:r>
      <w:r w:rsidR="00395374" w:rsidRPr="00E244C4">
        <w:rPr>
          <w:rFonts w:eastAsia="Times New Roman" w:cs="Times New Roman"/>
          <w:szCs w:val="20"/>
          <w:lang w:val="hr-HR" w:eastAsia="en-GB"/>
        </w:rPr>
        <w:t>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753B05" w:rsidRPr="00E244C4">
        <w:rPr>
          <w:rFonts w:eastAsia="Times New Roman" w:cs="Times New Roman"/>
          <w:szCs w:val="20"/>
          <w:lang w:val="hr-HR" w:eastAsia="en-GB"/>
        </w:rPr>
        <w:t>objekt</w:t>
      </w:r>
      <w:r w:rsidR="00395374" w:rsidRPr="00E244C4">
        <w:rPr>
          <w:rFonts w:eastAsia="Times New Roman" w:cs="Times New Roman"/>
          <w:szCs w:val="20"/>
          <w:lang w:val="hr-HR" w:eastAsia="en-GB"/>
        </w:rPr>
        <w:t>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osim ako one odluče </w:t>
      </w:r>
      <w:r w:rsidR="00395374" w:rsidRPr="00E244C4">
        <w:rPr>
          <w:rFonts w:eastAsia="Times New Roman" w:cs="Times New Roman"/>
          <w:szCs w:val="20"/>
          <w:lang w:val="hr-HR" w:eastAsia="en-GB"/>
        </w:rPr>
        <w:t xml:space="preserve">da </w:t>
      </w:r>
      <w:r w:rsidRPr="00E244C4">
        <w:rPr>
          <w:rFonts w:eastAsia="Times New Roman" w:cs="Times New Roman"/>
          <w:szCs w:val="20"/>
          <w:lang w:val="hr-HR" w:eastAsia="en-GB"/>
        </w:rPr>
        <w:t>pokrenu</w:t>
      </w:r>
      <w:r w:rsidR="00395374"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Pr="00E244C4">
        <w:rPr>
          <w:rFonts w:eastAsia="Times New Roman" w:cs="Times New Roman"/>
          <w:szCs w:val="20"/>
          <w:lang w:val="hr-HR" w:eastAsia="en-GB"/>
        </w:rPr>
        <w:t xml:space="preserve">aktivnosti </w:t>
      </w:r>
      <w:r w:rsidR="00395374" w:rsidRPr="00E244C4">
        <w:rPr>
          <w:rFonts w:eastAsia="Times New Roman" w:cs="Times New Roman"/>
          <w:szCs w:val="20"/>
          <w:lang w:val="hr-HR" w:eastAsia="en-GB"/>
        </w:rPr>
        <w:t>u vezi s</w:t>
      </w:r>
      <w:r w:rsidRPr="00E244C4">
        <w:rPr>
          <w:rFonts w:eastAsia="Times New Roman" w:cs="Times New Roman"/>
          <w:szCs w:val="20"/>
          <w:lang w:val="hr-HR" w:eastAsia="en-GB"/>
        </w:rPr>
        <w:t xml:space="preserve"> nuklearnim </w:t>
      </w:r>
      <w:r w:rsidR="00395374" w:rsidRPr="00E244C4">
        <w:rPr>
          <w:rFonts w:eastAsia="Times New Roman" w:cs="Times New Roman"/>
          <w:szCs w:val="20"/>
          <w:lang w:val="hr-HR" w:eastAsia="en-GB"/>
        </w:rPr>
        <w:t>objektima</w:t>
      </w:r>
      <w:r w:rsidRPr="00E244C4">
        <w:rPr>
          <w:rFonts w:eastAsia="Times New Roman" w:cs="Times New Roman"/>
          <w:szCs w:val="20"/>
          <w:lang w:val="hr-HR" w:eastAsia="en-GB"/>
        </w:rPr>
        <w:t xml:space="preserve"> koj</w:t>
      </w:r>
      <w:r w:rsidR="00395374" w:rsidRPr="00E244C4">
        <w:rPr>
          <w:rFonts w:eastAsia="Times New Roman" w:cs="Times New Roman"/>
          <w:szCs w:val="20"/>
          <w:lang w:val="hr-HR" w:eastAsia="en-GB"/>
        </w:rPr>
        <w:t>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podliježu d</w:t>
      </w:r>
      <w:r w:rsidR="00395374" w:rsidRPr="00E244C4">
        <w:rPr>
          <w:rFonts w:eastAsia="Times New Roman" w:cs="Times New Roman"/>
          <w:szCs w:val="20"/>
          <w:lang w:val="hr-HR" w:eastAsia="en-GB"/>
        </w:rPr>
        <w:t>avanju licence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p</w:t>
      </w:r>
      <w:r w:rsidR="00E81DE2" w:rsidRPr="00E244C4">
        <w:rPr>
          <w:rFonts w:eastAsia="Times New Roman" w:cs="Times New Roman"/>
          <w:szCs w:val="20"/>
          <w:lang w:val="hr-HR" w:eastAsia="en-GB"/>
        </w:rPr>
        <w:t>od njihovom nadležnošću</w:t>
      </w:r>
      <w:r w:rsidRPr="00E244C4">
        <w:rPr>
          <w:rFonts w:eastAsia="Times New Roman" w:cs="Times New Roman"/>
          <w:szCs w:val="20"/>
          <w:lang w:val="hr-HR" w:eastAsia="en-GB"/>
        </w:rPr>
        <w:t>.</w:t>
      </w:r>
    </w:p>
    <w:p w:rsidR="00A63118" w:rsidRPr="00E244C4" w:rsidRDefault="00A63118" w:rsidP="00A63118">
      <w:pPr>
        <w:pStyle w:val="ListParagraph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A63118">
      <w:pPr>
        <w:pStyle w:val="ListParagraph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Države članice Komisiji dostavljaju tekst glavnih odredb</w:t>
      </w:r>
      <w:r w:rsidR="00E62DD9" w:rsidRPr="00E244C4">
        <w:rPr>
          <w:rFonts w:eastAsia="Times New Roman" w:cs="Times New Roman"/>
          <w:szCs w:val="20"/>
          <w:lang w:val="hr-HR" w:eastAsia="en-GB"/>
        </w:rPr>
        <w:t>i</w:t>
      </w:r>
      <w:r w:rsidRPr="00E244C4">
        <w:rPr>
          <w:rFonts w:eastAsia="Times New Roman" w:cs="Times New Roman"/>
          <w:szCs w:val="20"/>
          <w:lang w:val="hr-HR" w:eastAsia="en-GB"/>
        </w:rPr>
        <w:t xml:space="preserve"> </w:t>
      </w:r>
      <w:r w:rsidR="00E62DD9" w:rsidRPr="00E244C4">
        <w:rPr>
          <w:rFonts w:eastAsia="Times New Roman" w:cs="Times New Roman"/>
          <w:szCs w:val="20"/>
          <w:lang w:val="hr-HR" w:eastAsia="en-GB"/>
        </w:rPr>
        <w:t>zakonodavstva države</w:t>
      </w:r>
      <w:r w:rsidRPr="00E244C4">
        <w:rPr>
          <w:rFonts w:eastAsia="Times New Roman" w:cs="Times New Roman"/>
          <w:szCs w:val="20"/>
          <w:lang w:val="hr-HR" w:eastAsia="en-GB"/>
        </w:rPr>
        <w:t xml:space="preserve"> koje donesu u području na koje se odnosi ova </w:t>
      </w:r>
      <w:r w:rsidR="00D57847" w:rsidRPr="00E244C4">
        <w:rPr>
          <w:rFonts w:eastAsia="Times New Roman" w:cs="Times New Roman"/>
          <w:szCs w:val="20"/>
          <w:lang w:val="hr-HR" w:eastAsia="en-GB"/>
        </w:rPr>
        <w:t>d</w:t>
      </w:r>
      <w:r w:rsidRPr="00E244C4">
        <w:rPr>
          <w:rFonts w:eastAsia="Times New Roman" w:cs="Times New Roman"/>
          <w:szCs w:val="20"/>
          <w:lang w:val="hr-HR" w:eastAsia="en-GB"/>
        </w:rPr>
        <w:t>irektiva</w:t>
      </w:r>
      <w:r w:rsidR="00606960" w:rsidRPr="00E244C4">
        <w:rPr>
          <w:rFonts w:eastAsia="Times New Roman" w:cs="Times New Roman"/>
          <w:szCs w:val="20"/>
          <w:lang w:val="hr-HR" w:eastAsia="en-GB"/>
        </w:rPr>
        <w:t>,</w:t>
      </w:r>
      <w:r w:rsidRPr="00E244C4">
        <w:rPr>
          <w:rFonts w:eastAsia="Times New Roman" w:cs="Times New Roman"/>
          <w:szCs w:val="20"/>
          <w:lang w:val="hr-HR" w:eastAsia="en-GB"/>
        </w:rPr>
        <w:t xml:space="preserve"> kao i naknadnih izmjena tih odred</w:t>
      </w:r>
      <w:r w:rsidR="00D57847" w:rsidRPr="00E244C4">
        <w:rPr>
          <w:rFonts w:eastAsia="Times New Roman" w:cs="Times New Roman"/>
          <w:szCs w:val="20"/>
          <w:lang w:val="hr-HR" w:eastAsia="en-GB"/>
        </w:rPr>
        <w:t>bi</w:t>
      </w:r>
      <w:r w:rsidRPr="00E244C4">
        <w:rPr>
          <w:rFonts w:eastAsia="Times New Roman" w:cs="Times New Roman"/>
          <w:szCs w:val="20"/>
          <w:lang w:val="hr-HR" w:eastAsia="en-GB"/>
        </w:rPr>
        <w:t>.</w:t>
      </w:r>
    </w:p>
    <w:p w:rsidR="00A63118" w:rsidRPr="00E244C4" w:rsidRDefault="00A63118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A63118">
      <w:pPr>
        <w:jc w:val="center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Član 11.</w:t>
      </w:r>
    </w:p>
    <w:p w:rsidR="00371F52" w:rsidRPr="00E244C4" w:rsidRDefault="00371F52" w:rsidP="00A63118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E244C4">
        <w:rPr>
          <w:rFonts w:eastAsia="Times New Roman" w:cs="Times New Roman"/>
          <w:b/>
          <w:szCs w:val="20"/>
          <w:lang w:val="hr-HR" w:eastAsia="en-GB"/>
        </w:rPr>
        <w:t>Stupanje na snagu</w:t>
      </w:r>
    </w:p>
    <w:p w:rsidR="00A63118" w:rsidRPr="00E244C4" w:rsidRDefault="00A63118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A63118">
      <w:pPr>
        <w:jc w:val="both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Ova </w:t>
      </w:r>
      <w:r w:rsidR="00A63118" w:rsidRPr="00E244C4">
        <w:rPr>
          <w:rFonts w:eastAsia="Times New Roman" w:cs="Times New Roman"/>
          <w:szCs w:val="20"/>
          <w:lang w:val="hr-HR" w:eastAsia="en-GB"/>
        </w:rPr>
        <w:t>d</w:t>
      </w:r>
      <w:r w:rsidRPr="00E244C4">
        <w:rPr>
          <w:rFonts w:eastAsia="Times New Roman" w:cs="Times New Roman"/>
          <w:szCs w:val="20"/>
          <w:lang w:val="hr-HR" w:eastAsia="en-GB"/>
        </w:rPr>
        <w:t xml:space="preserve">irektiva stupa na snagu dvadesetog dana od dana objave u </w:t>
      </w:r>
      <w:r w:rsidR="00A63118" w:rsidRPr="00E244C4">
        <w:rPr>
          <w:rFonts w:eastAsia="Times New Roman" w:cs="Times New Roman"/>
          <w:szCs w:val="20"/>
          <w:lang w:val="hr-HR" w:eastAsia="en-GB"/>
        </w:rPr>
        <w:t>„</w:t>
      </w:r>
      <w:r w:rsidRPr="00E244C4">
        <w:rPr>
          <w:rFonts w:eastAsia="Times New Roman" w:cs="Times New Roman"/>
          <w:szCs w:val="20"/>
          <w:lang w:val="hr-HR" w:eastAsia="en-GB"/>
        </w:rPr>
        <w:t>Službenom listu E</w:t>
      </w:r>
      <w:r w:rsidR="00A63118" w:rsidRPr="00E244C4">
        <w:rPr>
          <w:rFonts w:eastAsia="Times New Roman" w:cs="Times New Roman"/>
          <w:szCs w:val="20"/>
          <w:lang w:val="hr-HR" w:eastAsia="en-GB"/>
        </w:rPr>
        <w:t>v</w:t>
      </w:r>
      <w:r w:rsidRPr="00E244C4">
        <w:rPr>
          <w:rFonts w:eastAsia="Times New Roman" w:cs="Times New Roman"/>
          <w:szCs w:val="20"/>
          <w:lang w:val="hr-HR" w:eastAsia="en-GB"/>
        </w:rPr>
        <w:t>ropske unije</w:t>
      </w:r>
      <w:r w:rsidR="00A63118" w:rsidRPr="00E244C4">
        <w:rPr>
          <w:rFonts w:eastAsia="Times New Roman" w:cs="Times New Roman"/>
          <w:szCs w:val="20"/>
          <w:lang w:val="hr-HR" w:eastAsia="en-GB"/>
        </w:rPr>
        <w:t>”</w:t>
      </w:r>
      <w:r w:rsidRPr="00E244C4">
        <w:rPr>
          <w:rFonts w:eastAsia="Times New Roman" w:cs="Times New Roman"/>
          <w:szCs w:val="20"/>
          <w:lang w:val="hr-HR" w:eastAsia="en-GB"/>
        </w:rPr>
        <w:t>.</w:t>
      </w:r>
    </w:p>
    <w:p w:rsidR="00A63118" w:rsidRPr="00E244C4" w:rsidRDefault="00A63118" w:rsidP="005270DE">
      <w:pPr>
        <w:rPr>
          <w:rFonts w:eastAsia="Times New Roman" w:cs="Times New Roman"/>
          <w:szCs w:val="20"/>
          <w:lang w:val="hr-HR" w:eastAsia="en-GB"/>
        </w:rPr>
      </w:pPr>
    </w:p>
    <w:p w:rsidR="00371F52" w:rsidRPr="00E244C4" w:rsidRDefault="00371F52" w:rsidP="00A63118">
      <w:pPr>
        <w:jc w:val="center"/>
        <w:rPr>
          <w:rFonts w:eastAsia="Times New Roman" w:cs="Times New Roman"/>
          <w:szCs w:val="20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>Član 12.</w:t>
      </w:r>
    </w:p>
    <w:p w:rsidR="00371F52" w:rsidRPr="00E244C4" w:rsidRDefault="00371F52" w:rsidP="00A63118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E244C4">
        <w:rPr>
          <w:rFonts w:eastAsia="Times New Roman" w:cs="Times New Roman"/>
          <w:b/>
          <w:szCs w:val="20"/>
          <w:lang w:val="hr-HR" w:eastAsia="en-GB"/>
        </w:rPr>
        <w:t>Adresati</w:t>
      </w:r>
    </w:p>
    <w:p w:rsidR="00A63118" w:rsidRPr="00E244C4" w:rsidRDefault="00A63118" w:rsidP="005270DE">
      <w:pPr>
        <w:rPr>
          <w:rFonts w:eastAsia="Times New Roman" w:cs="Times New Roman"/>
          <w:szCs w:val="20"/>
          <w:lang w:val="hr-HR" w:eastAsia="en-GB"/>
        </w:rPr>
      </w:pPr>
    </w:p>
    <w:p w:rsidR="00FF5138" w:rsidRPr="00E244C4" w:rsidRDefault="00371F52" w:rsidP="00FF5138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  <w:r w:rsidRPr="00E244C4">
        <w:rPr>
          <w:rFonts w:eastAsia="Times New Roman" w:cs="Times New Roman"/>
          <w:szCs w:val="20"/>
          <w:lang w:val="hr-HR" w:eastAsia="en-GB"/>
        </w:rPr>
        <w:t xml:space="preserve">Ova </w:t>
      </w:r>
      <w:r w:rsidR="00A63118" w:rsidRPr="00E244C4">
        <w:rPr>
          <w:rFonts w:eastAsia="Times New Roman" w:cs="Times New Roman"/>
          <w:szCs w:val="20"/>
          <w:lang w:val="hr-HR" w:eastAsia="en-GB"/>
        </w:rPr>
        <w:t xml:space="preserve">direktiva </w:t>
      </w:r>
      <w:r w:rsidRPr="00E244C4">
        <w:rPr>
          <w:rFonts w:eastAsia="Times New Roman" w:cs="Times New Roman"/>
          <w:szCs w:val="20"/>
          <w:lang w:val="hr-HR" w:eastAsia="en-GB"/>
        </w:rPr>
        <w:t>je upućena državama članicama.</w:t>
      </w:r>
    </w:p>
    <w:p w:rsidR="00FF5138" w:rsidRPr="00E244C4" w:rsidRDefault="00FF5138" w:rsidP="00FF5138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p w:rsidR="00FF5138" w:rsidRPr="00E244C4" w:rsidRDefault="00FF5138" w:rsidP="00FF5138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p w:rsidR="00FF5138" w:rsidRPr="00E244C4" w:rsidRDefault="00FF5138" w:rsidP="00FF5138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p w:rsidR="00FF5138" w:rsidRPr="00E244C4" w:rsidRDefault="00FF5138" w:rsidP="00FF5138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p w:rsidR="00FF5138" w:rsidRPr="00E244C4" w:rsidRDefault="00FF5138" w:rsidP="00FF5138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sectPr w:rsidR="00FF5138" w:rsidRPr="00E244C4" w:rsidSect="009A0BA1">
      <w:headerReference w:type="default" r:id="rId7"/>
      <w:pgSz w:w="11906" w:h="16838"/>
      <w:pgMar w:top="1440" w:right="1440" w:bottom="1440" w:left="1440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F7C" w:rsidRDefault="00E21F7C" w:rsidP="00B84671">
      <w:r>
        <w:separator/>
      </w:r>
    </w:p>
  </w:endnote>
  <w:endnote w:type="continuationSeparator" w:id="0">
    <w:p w:rsidR="00E21F7C" w:rsidRDefault="00E21F7C" w:rsidP="00B8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F7C" w:rsidRDefault="00E21F7C" w:rsidP="00B84671">
      <w:r>
        <w:separator/>
      </w:r>
    </w:p>
  </w:footnote>
  <w:footnote w:type="continuationSeparator" w:id="0">
    <w:p w:rsidR="00E21F7C" w:rsidRDefault="00E21F7C" w:rsidP="00B84671">
      <w:r>
        <w:continuationSeparator/>
      </w:r>
    </w:p>
  </w:footnote>
  <w:footnote w:id="1">
    <w:p w:rsidR="00B84671" w:rsidRPr="00383FAF" w:rsidRDefault="00B84671">
      <w:pPr>
        <w:pStyle w:val="FootnoteText"/>
        <w:rPr>
          <w:rFonts w:asciiTheme="minorHAnsi" w:hAnsiTheme="minorHAnsi"/>
          <w:lang w:val="bs-Latn-BA"/>
        </w:rPr>
      </w:pPr>
      <w:r w:rsidRPr="00383FAF">
        <w:rPr>
          <w:rStyle w:val="FootnoteReference"/>
          <w:rFonts w:asciiTheme="minorHAnsi" w:hAnsiTheme="minorHAnsi"/>
        </w:rPr>
        <w:footnoteRef/>
      </w:r>
      <w:r w:rsidRPr="00383FAF">
        <w:rPr>
          <w:rFonts w:asciiTheme="minorHAnsi" w:hAnsiTheme="minorHAnsi"/>
        </w:rPr>
        <w:t xml:space="preserve"> </w:t>
      </w:r>
      <w:r w:rsidRPr="00383FAF">
        <w:rPr>
          <w:rFonts w:asciiTheme="minorHAnsi" w:eastAsia="Times New Roman" w:hAnsiTheme="minorHAnsi" w:cs="Times New Roman"/>
          <w:lang w:eastAsia="en-GB"/>
        </w:rPr>
        <w:t>Mišljenje od 10. juna 2009. (još nije objavljeno u</w:t>
      </w:r>
      <w:r w:rsidR="00E244C4">
        <w:rPr>
          <w:rFonts w:asciiTheme="minorHAnsi" w:eastAsia="Times New Roman" w:hAnsiTheme="minorHAnsi" w:cs="Times New Roman"/>
          <w:lang w:eastAsia="en-GB"/>
        </w:rPr>
        <w:t xml:space="preserve"> </w:t>
      </w:r>
      <w:r w:rsidR="00DA0099" w:rsidRPr="007A64C0">
        <w:rPr>
          <w:rFonts w:asciiTheme="minorHAnsi" w:hAnsiTheme="minorHAnsi"/>
        </w:rPr>
        <w:t>„Služben</w:t>
      </w:r>
      <w:r w:rsidR="00DA0099">
        <w:rPr>
          <w:rFonts w:asciiTheme="minorHAnsi" w:hAnsiTheme="minorHAnsi"/>
        </w:rPr>
        <w:t>om</w:t>
      </w:r>
      <w:r w:rsidR="00DA0099" w:rsidRPr="007A64C0">
        <w:rPr>
          <w:rFonts w:asciiTheme="minorHAnsi" w:hAnsiTheme="minorHAnsi"/>
        </w:rPr>
        <w:t xml:space="preserve"> list</w:t>
      </w:r>
      <w:r w:rsidR="00DA0099">
        <w:rPr>
          <w:rFonts w:asciiTheme="minorHAnsi" w:hAnsiTheme="minorHAnsi"/>
        </w:rPr>
        <w:t>u</w:t>
      </w:r>
      <w:r w:rsidR="00DA0099" w:rsidRPr="007A64C0">
        <w:rPr>
          <w:rFonts w:asciiTheme="minorHAnsi" w:hAnsiTheme="minorHAnsi"/>
        </w:rPr>
        <w:t xml:space="preserve"> EU”</w:t>
      </w:r>
      <w:r w:rsidRPr="00383FAF">
        <w:rPr>
          <w:rFonts w:asciiTheme="minorHAnsi" w:eastAsia="Times New Roman" w:hAnsiTheme="minorHAnsi" w:cs="Times New Roman"/>
          <w:lang w:eastAsia="en-GB"/>
        </w:rPr>
        <w:t>)</w:t>
      </w:r>
    </w:p>
  </w:footnote>
  <w:footnote w:id="2">
    <w:p w:rsidR="00B84671" w:rsidRPr="00383FAF" w:rsidRDefault="00B84671">
      <w:pPr>
        <w:pStyle w:val="FootnoteText"/>
        <w:rPr>
          <w:rFonts w:asciiTheme="minorHAnsi" w:hAnsiTheme="minorHAnsi"/>
          <w:lang w:val="bs-Latn-BA"/>
        </w:rPr>
      </w:pPr>
      <w:r w:rsidRPr="00383FAF">
        <w:rPr>
          <w:rStyle w:val="FootnoteReference"/>
          <w:rFonts w:asciiTheme="minorHAnsi" w:hAnsiTheme="minorHAnsi"/>
        </w:rPr>
        <w:footnoteRef/>
      </w:r>
      <w:r w:rsidRPr="00383FAF">
        <w:rPr>
          <w:rFonts w:asciiTheme="minorHAnsi" w:hAnsiTheme="minorHAnsi"/>
        </w:rPr>
        <w:t xml:space="preserve"> </w:t>
      </w:r>
      <w:r w:rsidRPr="00383FAF">
        <w:rPr>
          <w:rFonts w:asciiTheme="minorHAnsi" w:eastAsia="Times New Roman" w:hAnsiTheme="minorHAnsi" w:cs="Times New Roman"/>
          <w:lang w:eastAsia="en-GB"/>
        </w:rPr>
        <w:t>Mišljenje Evropskog parlamenta od 22. aprila 2009. (još nije objavljeno u</w:t>
      </w:r>
      <w:r w:rsidR="00E244C4">
        <w:rPr>
          <w:rFonts w:asciiTheme="minorHAnsi" w:eastAsia="Times New Roman" w:hAnsiTheme="minorHAnsi" w:cs="Times New Roman"/>
          <w:lang w:eastAsia="en-GB"/>
        </w:rPr>
        <w:t xml:space="preserve"> </w:t>
      </w:r>
      <w:r w:rsidR="00DA0099" w:rsidRPr="007A64C0">
        <w:rPr>
          <w:rFonts w:asciiTheme="minorHAnsi" w:hAnsiTheme="minorHAnsi"/>
        </w:rPr>
        <w:t>„Služben</w:t>
      </w:r>
      <w:r w:rsidR="00DA0099">
        <w:rPr>
          <w:rFonts w:asciiTheme="minorHAnsi" w:hAnsiTheme="minorHAnsi"/>
        </w:rPr>
        <w:t>om</w:t>
      </w:r>
      <w:r w:rsidR="00DA0099" w:rsidRPr="007A64C0">
        <w:rPr>
          <w:rFonts w:asciiTheme="minorHAnsi" w:hAnsiTheme="minorHAnsi"/>
        </w:rPr>
        <w:t xml:space="preserve"> list</w:t>
      </w:r>
      <w:r w:rsidR="00DA0099">
        <w:rPr>
          <w:rFonts w:asciiTheme="minorHAnsi" w:hAnsiTheme="minorHAnsi"/>
        </w:rPr>
        <w:t>u</w:t>
      </w:r>
      <w:r w:rsidR="00DA0099" w:rsidRPr="007A64C0">
        <w:rPr>
          <w:rFonts w:asciiTheme="minorHAnsi" w:hAnsiTheme="minorHAnsi"/>
        </w:rPr>
        <w:t xml:space="preserve"> EU”</w:t>
      </w:r>
      <w:r w:rsidRPr="00383FAF">
        <w:rPr>
          <w:rFonts w:asciiTheme="minorHAnsi" w:eastAsia="Times New Roman" w:hAnsiTheme="minorHAnsi" w:cs="Times New Roman"/>
          <w:lang w:eastAsia="en-GB"/>
        </w:rPr>
        <w:t>)</w:t>
      </w:r>
    </w:p>
  </w:footnote>
  <w:footnote w:id="3">
    <w:p w:rsidR="00B84671" w:rsidRPr="00383FAF" w:rsidRDefault="00B84671">
      <w:pPr>
        <w:pStyle w:val="FootnoteText"/>
        <w:rPr>
          <w:rFonts w:asciiTheme="minorHAnsi" w:hAnsiTheme="minorHAnsi"/>
          <w:lang w:val="bs-Latn-BA"/>
        </w:rPr>
      </w:pPr>
      <w:r w:rsidRPr="00383FAF">
        <w:rPr>
          <w:rStyle w:val="FootnoteReference"/>
          <w:rFonts w:asciiTheme="minorHAnsi" w:hAnsiTheme="minorHAnsi"/>
        </w:rPr>
        <w:footnoteRef/>
      </w:r>
      <w:r w:rsidRPr="00383FAF">
        <w:rPr>
          <w:rFonts w:asciiTheme="minorHAnsi" w:hAnsiTheme="minorHAnsi"/>
        </w:rPr>
        <w:t xml:space="preserve"> </w:t>
      </w:r>
      <w:r w:rsidR="00383FAF" w:rsidRPr="007A64C0">
        <w:rPr>
          <w:rFonts w:asciiTheme="minorHAnsi" w:hAnsiTheme="minorHAnsi"/>
        </w:rPr>
        <w:t>„Službeni list EU”, broj</w:t>
      </w:r>
      <w:r w:rsidRPr="00383FAF">
        <w:rPr>
          <w:rFonts w:asciiTheme="minorHAnsi" w:hAnsiTheme="minorHAnsi"/>
          <w:lang w:val="en-US"/>
        </w:rPr>
        <w:t xml:space="preserve"> L </w:t>
      </w:r>
      <w:r w:rsidRPr="00383FAF">
        <w:rPr>
          <w:rFonts w:asciiTheme="minorHAnsi" w:eastAsia="Times New Roman" w:hAnsiTheme="minorHAnsi" w:cs="Times New Roman"/>
          <w:lang w:eastAsia="en-GB"/>
        </w:rPr>
        <w:t>159, 29.6.1996., str. 1</w:t>
      </w:r>
    </w:p>
  </w:footnote>
  <w:footnote w:id="4">
    <w:p w:rsidR="002F4FCE" w:rsidRPr="00383FAF" w:rsidRDefault="002F4FCE" w:rsidP="004052B2">
      <w:pPr>
        <w:pStyle w:val="FootnoteText"/>
        <w:jc w:val="both"/>
        <w:rPr>
          <w:rFonts w:asciiTheme="minorHAnsi" w:hAnsiTheme="minorHAnsi"/>
          <w:lang w:val="bs-Latn-BA"/>
        </w:rPr>
      </w:pPr>
      <w:r w:rsidRPr="00383FAF">
        <w:rPr>
          <w:rStyle w:val="FootnoteReference"/>
          <w:rFonts w:asciiTheme="minorHAnsi" w:hAnsiTheme="minorHAnsi"/>
        </w:rPr>
        <w:footnoteRef/>
      </w:r>
      <w:r w:rsidRPr="00383FAF">
        <w:rPr>
          <w:rFonts w:asciiTheme="minorHAnsi" w:hAnsiTheme="minorHAnsi"/>
        </w:rPr>
        <w:t xml:space="preserve"> C-187/87 (</w:t>
      </w:r>
      <w:r w:rsidR="004052B2">
        <w:rPr>
          <w:rFonts w:asciiTheme="minorHAnsi" w:hAnsiTheme="minorHAnsi"/>
        </w:rPr>
        <w:t>Izvještaji evropskog suda 1998.,</w:t>
      </w:r>
      <w:r w:rsidRPr="00383FAF">
        <w:rPr>
          <w:rFonts w:asciiTheme="minorHAnsi" w:hAnsiTheme="minorHAnsi"/>
        </w:rPr>
        <w:t xml:space="preserve"> str. 5013), C-376/90 (</w:t>
      </w:r>
      <w:r w:rsidR="004052B2">
        <w:rPr>
          <w:rFonts w:asciiTheme="minorHAnsi" w:hAnsiTheme="minorHAnsi"/>
        </w:rPr>
        <w:t>Izvještaji evropskog suda</w:t>
      </w:r>
      <w:r w:rsidRPr="00383FAF">
        <w:rPr>
          <w:rFonts w:asciiTheme="minorHAnsi" w:hAnsiTheme="minorHAnsi"/>
        </w:rPr>
        <w:t xml:space="preserve"> </w:t>
      </w:r>
      <w:r w:rsidR="004052B2">
        <w:rPr>
          <w:rFonts w:asciiTheme="minorHAnsi" w:hAnsiTheme="minorHAnsi"/>
        </w:rPr>
        <w:t xml:space="preserve">1992., </w:t>
      </w:r>
      <w:r w:rsidRPr="00383FAF">
        <w:rPr>
          <w:rFonts w:asciiTheme="minorHAnsi" w:hAnsiTheme="minorHAnsi"/>
        </w:rPr>
        <w:t>I-6153) i C-29/99 (</w:t>
      </w:r>
      <w:r w:rsidR="004052B2">
        <w:rPr>
          <w:rFonts w:asciiTheme="minorHAnsi" w:hAnsiTheme="minorHAnsi"/>
        </w:rPr>
        <w:t>Izvještaji evropskog suda</w:t>
      </w:r>
      <w:r w:rsidRPr="00383FAF">
        <w:rPr>
          <w:rFonts w:asciiTheme="minorHAnsi" w:hAnsiTheme="minorHAnsi"/>
        </w:rPr>
        <w:t xml:space="preserve"> </w:t>
      </w:r>
      <w:r w:rsidR="004052B2">
        <w:rPr>
          <w:rFonts w:asciiTheme="minorHAnsi" w:hAnsiTheme="minorHAnsi"/>
        </w:rPr>
        <w:t xml:space="preserve">2002., </w:t>
      </w:r>
      <w:r w:rsidRPr="00383FAF">
        <w:rPr>
          <w:rFonts w:asciiTheme="minorHAnsi" w:hAnsiTheme="minorHAnsi"/>
        </w:rPr>
        <w:t>I-11221)</w:t>
      </w:r>
    </w:p>
  </w:footnote>
  <w:footnote w:id="5">
    <w:p w:rsidR="00B84671" w:rsidRPr="00B84671" w:rsidRDefault="00B84671">
      <w:pPr>
        <w:pStyle w:val="FootnoteText"/>
        <w:rPr>
          <w:lang w:val="bs-Latn-BA"/>
        </w:rPr>
      </w:pPr>
      <w:r w:rsidRPr="00383FAF">
        <w:rPr>
          <w:rStyle w:val="FootnoteReference"/>
          <w:rFonts w:asciiTheme="minorHAnsi" w:hAnsiTheme="minorHAnsi"/>
        </w:rPr>
        <w:footnoteRef/>
      </w:r>
      <w:r w:rsidRPr="00383FAF">
        <w:rPr>
          <w:rFonts w:asciiTheme="minorHAnsi" w:hAnsiTheme="minorHAnsi"/>
        </w:rPr>
        <w:t xml:space="preserve"> </w:t>
      </w:r>
      <w:r w:rsidR="00383FAF" w:rsidRPr="007A64C0">
        <w:rPr>
          <w:rFonts w:asciiTheme="minorHAnsi" w:hAnsiTheme="minorHAnsi"/>
        </w:rPr>
        <w:t>„Službeni list EU”, broj</w:t>
      </w:r>
      <w:r w:rsidR="009F16F4" w:rsidRPr="00383FAF">
        <w:rPr>
          <w:rFonts w:asciiTheme="minorHAnsi" w:hAnsiTheme="minorHAnsi"/>
          <w:lang w:val="en-US"/>
        </w:rPr>
        <w:t xml:space="preserve"> L</w:t>
      </w:r>
      <w:r w:rsidR="009F16F4" w:rsidRPr="00383FAF">
        <w:rPr>
          <w:rFonts w:asciiTheme="minorHAnsi" w:eastAsia="Times New Roman" w:hAnsiTheme="minorHAnsi" w:cs="Times New Roman"/>
          <w:lang w:eastAsia="en-GB"/>
        </w:rPr>
        <w:t xml:space="preserve"> </w:t>
      </w:r>
      <w:r w:rsidR="009F16F4" w:rsidRPr="00383FAF">
        <w:rPr>
          <w:rFonts w:asciiTheme="minorHAnsi" w:hAnsiTheme="minorHAnsi"/>
        </w:rPr>
        <w:t>318, 11.12.1999., str. 21</w:t>
      </w:r>
    </w:p>
  </w:footnote>
  <w:footnote w:id="6">
    <w:p w:rsidR="009F16F4" w:rsidRPr="00383FAF" w:rsidRDefault="009F16F4">
      <w:pPr>
        <w:pStyle w:val="FootnoteText"/>
        <w:rPr>
          <w:rFonts w:asciiTheme="minorHAnsi" w:hAnsiTheme="minorHAnsi"/>
          <w:lang w:val="bs-Latn-BA"/>
        </w:rPr>
      </w:pPr>
      <w:r w:rsidRPr="00383FAF">
        <w:rPr>
          <w:rStyle w:val="FootnoteReference"/>
          <w:rFonts w:asciiTheme="minorHAnsi" w:hAnsiTheme="minorHAnsi"/>
        </w:rPr>
        <w:footnoteRef/>
      </w:r>
      <w:r w:rsidRPr="00383FAF">
        <w:rPr>
          <w:rFonts w:asciiTheme="minorHAnsi" w:hAnsiTheme="minorHAnsi"/>
        </w:rPr>
        <w:t xml:space="preserve"> </w:t>
      </w:r>
      <w:r w:rsidR="00383FAF" w:rsidRPr="007A64C0">
        <w:rPr>
          <w:rFonts w:asciiTheme="minorHAnsi" w:hAnsiTheme="minorHAnsi"/>
        </w:rPr>
        <w:t>„Službeni list EU”, broj</w:t>
      </w:r>
      <w:r w:rsidRPr="00383FAF">
        <w:rPr>
          <w:rFonts w:asciiTheme="minorHAnsi" w:hAnsiTheme="minorHAnsi"/>
          <w:lang w:val="en-US"/>
        </w:rPr>
        <w:t xml:space="preserve"> L </w:t>
      </w:r>
      <w:r w:rsidRPr="00383FAF">
        <w:rPr>
          <w:rFonts w:asciiTheme="minorHAnsi" w:hAnsiTheme="minorHAnsi"/>
        </w:rPr>
        <w:t>371, 30.12.1987., str. 76</w:t>
      </w:r>
    </w:p>
  </w:footnote>
  <w:footnote w:id="7">
    <w:p w:rsidR="00304A9A" w:rsidRPr="00383FAF" w:rsidRDefault="00304A9A">
      <w:pPr>
        <w:pStyle w:val="FootnoteText"/>
        <w:rPr>
          <w:rFonts w:asciiTheme="minorHAnsi" w:hAnsiTheme="minorHAnsi"/>
          <w:lang w:val="bs-Latn-BA"/>
        </w:rPr>
      </w:pPr>
      <w:r w:rsidRPr="00383FAF">
        <w:rPr>
          <w:rStyle w:val="FootnoteReference"/>
          <w:rFonts w:asciiTheme="minorHAnsi" w:hAnsiTheme="minorHAnsi"/>
        </w:rPr>
        <w:footnoteRef/>
      </w:r>
      <w:r w:rsidRPr="00383FAF">
        <w:rPr>
          <w:rFonts w:asciiTheme="minorHAnsi" w:hAnsiTheme="minorHAnsi"/>
        </w:rPr>
        <w:t xml:space="preserve"> </w:t>
      </w:r>
      <w:r w:rsidR="00383FAF" w:rsidRPr="007A64C0">
        <w:rPr>
          <w:rFonts w:asciiTheme="minorHAnsi" w:hAnsiTheme="minorHAnsi"/>
        </w:rPr>
        <w:t>„Službeni list EU”, broj</w:t>
      </w:r>
      <w:r w:rsidRPr="00383FAF">
        <w:rPr>
          <w:rFonts w:asciiTheme="minorHAnsi" w:hAnsiTheme="minorHAnsi"/>
          <w:lang w:val="en-US"/>
        </w:rPr>
        <w:t xml:space="preserve"> L </w:t>
      </w:r>
      <w:r w:rsidRPr="00383FAF">
        <w:rPr>
          <w:rFonts w:asciiTheme="minorHAnsi" w:hAnsiTheme="minorHAnsi"/>
        </w:rPr>
        <w:t>357, 7.12.1989., str. 31</w:t>
      </w:r>
    </w:p>
  </w:footnote>
  <w:footnote w:id="8">
    <w:p w:rsidR="00C22289" w:rsidRPr="00383FAF" w:rsidRDefault="00C22289" w:rsidP="00C22289">
      <w:pPr>
        <w:pStyle w:val="FootnoteText"/>
        <w:jc w:val="both"/>
        <w:rPr>
          <w:rFonts w:asciiTheme="minorHAnsi" w:hAnsiTheme="minorHAnsi"/>
          <w:lang w:val="bs-Latn-BA"/>
        </w:rPr>
      </w:pPr>
      <w:r w:rsidRPr="00383FAF">
        <w:rPr>
          <w:rStyle w:val="FootnoteReference"/>
          <w:rFonts w:asciiTheme="minorHAnsi" w:hAnsiTheme="minorHAnsi"/>
        </w:rPr>
        <w:footnoteRef/>
      </w:r>
      <w:r w:rsidRPr="00383FAF">
        <w:rPr>
          <w:rFonts w:asciiTheme="minorHAnsi" w:hAnsiTheme="minorHAnsi"/>
        </w:rPr>
        <w:t xml:space="preserve"> Temelj</w:t>
      </w:r>
      <w:r w:rsidR="00FF5138">
        <w:rPr>
          <w:rFonts w:asciiTheme="minorHAnsi" w:hAnsiTheme="minorHAnsi"/>
        </w:rPr>
        <w:t>i sigurnosti,</w:t>
      </w:r>
      <w:r w:rsidRPr="00383FAF">
        <w:rPr>
          <w:rFonts w:asciiTheme="minorHAnsi" w:hAnsiTheme="minorHAnsi"/>
        </w:rPr>
        <w:t xml:space="preserve"> IAEA-a: Temeljni principi sigurnosti, Serija "Sigurnosni standardi</w:t>
      </w:r>
      <w:r w:rsidRPr="00383FAF">
        <w:rPr>
          <w:rFonts w:asciiTheme="minorHAnsi" w:hAnsiTheme="minorHAnsi"/>
          <w:lang w:val="en-US"/>
        </w:rPr>
        <w:t>"</w:t>
      </w:r>
      <w:r w:rsidRPr="00383FAF">
        <w:rPr>
          <w:rFonts w:asciiTheme="minorHAnsi" w:hAnsiTheme="minorHAnsi"/>
        </w:rPr>
        <w:t xml:space="preserve"> IAEA-a br. SF-1 (2006)</w:t>
      </w:r>
    </w:p>
  </w:footnote>
  <w:footnote w:id="9">
    <w:p w:rsidR="001E1C62" w:rsidRPr="00C22289" w:rsidRDefault="001E1C62" w:rsidP="001E1C62">
      <w:pPr>
        <w:pStyle w:val="FootnoteText"/>
        <w:rPr>
          <w:lang w:val="bs-Latn-BA"/>
        </w:rPr>
      </w:pPr>
      <w:r w:rsidRPr="00383FAF">
        <w:rPr>
          <w:rStyle w:val="FootnoteReference"/>
          <w:rFonts w:asciiTheme="minorHAnsi" w:hAnsiTheme="minorHAnsi"/>
        </w:rPr>
        <w:footnoteRef/>
      </w:r>
      <w:r w:rsidRPr="00383FAF">
        <w:rPr>
          <w:rFonts w:asciiTheme="minorHAnsi" w:hAnsiTheme="minorHAnsi"/>
        </w:rPr>
        <w:t xml:space="preserve"> </w:t>
      </w:r>
      <w:r w:rsidRPr="007A64C0">
        <w:rPr>
          <w:rFonts w:asciiTheme="minorHAnsi" w:hAnsiTheme="minorHAnsi"/>
        </w:rPr>
        <w:t>„</w:t>
      </w:r>
      <w:r w:rsidRPr="00383FAF">
        <w:rPr>
          <w:rFonts w:asciiTheme="minorHAnsi" w:hAnsiTheme="minorHAnsi"/>
          <w:lang w:val="en-US"/>
        </w:rPr>
        <w:t>Službeni list EU</w:t>
      </w:r>
      <w:r w:rsidRPr="007A64C0">
        <w:rPr>
          <w:rFonts w:asciiTheme="minorHAnsi" w:hAnsiTheme="minorHAnsi"/>
        </w:rPr>
        <w:t>”</w:t>
      </w:r>
      <w:r w:rsidRPr="00383FAF">
        <w:rPr>
          <w:rFonts w:asciiTheme="minorHAnsi" w:hAnsiTheme="minorHAnsi"/>
          <w:lang w:val="en-US"/>
        </w:rPr>
        <w:t xml:space="preserve">, broj L </w:t>
      </w:r>
      <w:r w:rsidRPr="00383FAF">
        <w:rPr>
          <w:rFonts w:asciiTheme="minorHAnsi" w:hAnsiTheme="minorHAnsi"/>
        </w:rPr>
        <w:t>195, 27.7.2007., str. 44</w:t>
      </w:r>
    </w:p>
  </w:footnote>
  <w:footnote w:id="10">
    <w:p w:rsidR="00A63118" w:rsidRPr="00383FAF" w:rsidRDefault="00A63118">
      <w:pPr>
        <w:pStyle w:val="FootnoteText"/>
        <w:rPr>
          <w:rFonts w:asciiTheme="minorHAnsi" w:hAnsiTheme="minorHAnsi"/>
          <w:lang w:val="bs-Latn-BA"/>
        </w:rPr>
      </w:pPr>
      <w:r w:rsidRPr="00383FAF">
        <w:rPr>
          <w:rStyle w:val="FootnoteReference"/>
          <w:rFonts w:asciiTheme="minorHAnsi" w:hAnsiTheme="minorHAnsi"/>
        </w:rPr>
        <w:footnoteRef/>
      </w:r>
      <w:r w:rsidRPr="00383FAF">
        <w:rPr>
          <w:rFonts w:asciiTheme="minorHAnsi" w:hAnsiTheme="minorHAnsi"/>
        </w:rPr>
        <w:t xml:space="preserve"> </w:t>
      </w:r>
      <w:r w:rsidR="00383FAF" w:rsidRPr="00383FAF">
        <w:rPr>
          <w:rFonts w:asciiTheme="minorHAnsi" w:hAnsiTheme="minorHAnsi"/>
        </w:rPr>
        <w:t>„Službeni list EU”, broj</w:t>
      </w:r>
      <w:r w:rsidRPr="00383FAF">
        <w:rPr>
          <w:rFonts w:asciiTheme="minorHAnsi" w:hAnsiTheme="minorHAnsi"/>
          <w:lang w:val="en-US"/>
        </w:rPr>
        <w:t xml:space="preserve"> </w:t>
      </w:r>
      <w:r w:rsidRPr="00383FAF">
        <w:rPr>
          <w:rFonts w:asciiTheme="minorHAnsi" w:hAnsiTheme="minorHAnsi"/>
        </w:rPr>
        <w:t>C 321, 31.12.2003., str. 1</w:t>
      </w:r>
    </w:p>
  </w:footnote>
  <w:footnote w:id="11">
    <w:p w:rsidR="00383FAF" w:rsidRPr="00383FAF" w:rsidRDefault="00383FAF" w:rsidP="00383FAF">
      <w:pPr>
        <w:pStyle w:val="FootnoteText"/>
        <w:jc w:val="both"/>
        <w:rPr>
          <w:rFonts w:asciiTheme="minorHAnsi" w:hAnsiTheme="minorHAnsi"/>
          <w:lang w:val="bs-Latn-BA"/>
        </w:rPr>
      </w:pPr>
      <w:r w:rsidRPr="00383FAF">
        <w:rPr>
          <w:rStyle w:val="FootnoteReference"/>
          <w:rFonts w:asciiTheme="minorHAnsi" w:hAnsiTheme="minorHAnsi"/>
        </w:rPr>
        <w:footnoteRef/>
      </w:r>
      <w:r w:rsidRPr="00383FAF">
        <w:rPr>
          <w:rFonts w:asciiTheme="minorHAnsi" w:hAnsiTheme="minorHAnsi"/>
        </w:rPr>
        <w:t xml:space="preserve"> </w:t>
      </w:r>
      <w:r w:rsidR="00A63118" w:rsidRPr="00383FAF">
        <w:rPr>
          <w:rFonts w:asciiTheme="minorHAnsi" w:hAnsiTheme="minorHAnsi"/>
        </w:rPr>
        <w:t xml:space="preserve">Direktiva Vijeća 2013/59/Euratom od 5. </w:t>
      </w:r>
      <w:r w:rsidRPr="00383FAF">
        <w:rPr>
          <w:rFonts w:asciiTheme="minorHAnsi" w:hAnsiTheme="minorHAnsi"/>
        </w:rPr>
        <w:t>decembra</w:t>
      </w:r>
      <w:r w:rsidR="00A63118" w:rsidRPr="00383FAF">
        <w:rPr>
          <w:rFonts w:asciiTheme="minorHAnsi" w:hAnsiTheme="minorHAnsi"/>
        </w:rPr>
        <w:t xml:space="preserve"> 2013. </w:t>
      </w:r>
      <w:r w:rsidRPr="00383FAF">
        <w:rPr>
          <w:rFonts w:asciiTheme="minorHAnsi" w:hAnsiTheme="minorHAnsi"/>
          <w:bCs/>
          <w:lang w:val="hr-HR"/>
        </w:rPr>
        <w:t xml:space="preserve">od 5. decembra 2013. </w:t>
      </w:r>
      <w:r>
        <w:rPr>
          <w:rFonts w:asciiTheme="minorHAnsi" w:hAnsiTheme="minorHAnsi"/>
          <w:bCs/>
          <w:lang w:val="hr-HR"/>
        </w:rPr>
        <w:t>g</w:t>
      </w:r>
      <w:r w:rsidRPr="00383FAF">
        <w:rPr>
          <w:rFonts w:asciiTheme="minorHAnsi" w:hAnsiTheme="minorHAnsi"/>
          <w:bCs/>
          <w:lang w:val="hr-HR"/>
        </w:rPr>
        <w:t>odine o utvrđivanju osnovnih sigurnosnih standarda za zaštitu od opasnosti od ekspozicije jonizirajućem zračenju i stavljanju van snage direktiva 89/618/Euratom, 90/641/Euratom, 96/29/Euratom, 97/43/Euratom i 2003/122/Euratom</w:t>
      </w:r>
      <w:r>
        <w:rPr>
          <w:rFonts w:asciiTheme="minorHAnsi" w:hAnsiTheme="minorHAnsi"/>
          <w:bCs/>
          <w:lang w:val="hr-HR"/>
        </w:rPr>
        <w:t xml:space="preserve"> </w:t>
      </w:r>
      <w:r w:rsidR="00A63118" w:rsidRPr="00383FAF">
        <w:rPr>
          <w:rFonts w:asciiTheme="minorHAnsi" w:hAnsiTheme="minorHAnsi"/>
        </w:rPr>
        <w:t>(</w:t>
      </w:r>
      <w:r w:rsidR="007D1AC8" w:rsidRPr="00383FAF">
        <w:rPr>
          <w:rFonts w:asciiTheme="minorHAnsi" w:hAnsiTheme="minorHAnsi"/>
        </w:rPr>
        <w:t>„Službeni list EU”, broj</w:t>
      </w:r>
      <w:r w:rsidR="007D1AC8" w:rsidRPr="00383FAF">
        <w:rPr>
          <w:rFonts w:asciiTheme="minorHAnsi" w:hAnsiTheme="minorHAnsi"/>
          <w:lang w:val="en-US"/>
        </w:rPr>
        <w:t xml:space="preserve"> </w:t>
      </w:r>
      <w:r w:rsidR="00A63118" w:rsidRPr="00383FAF">
        <w:rPr>
          <w:rFonts w:asciiTheme="minorHAnsi" w:hAnsiTheme="minorHAnsi"/>
        </w:rPr>
        <w:t>L 13, 17.1.2014., str. 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A1" w:rsidRPr="009A0BA1" w:rsidRDefault="009A0BA1" w:rsidP="009A0BA1">
    <w:pPr>
      <w:pStyle w:val="Header"/>
      <w:tabs>
        <w:tab w:val="clear" w:pos="4513"/>
      </w:tabs>
      <w:rPr>
        <w:rFonts w:asciiTheme="minorHAnsi" w:hAnsiTheme="minorHAnsi"/>
      </w:rPr>
    </w:pPr>
    <w:r w:rsidRPr="009A0BA1">
      <w:rPr>
        <w:rFonts w:asciiTheme="minorHAnsi" w:hAnsiTheme="minorHAnsi"/>
        <w:lang w:val="bs-Latn-BA"/>
      </w:rPr>
      <w:t xml:space="preserve">25.07.2014.                             </w:t>
    </w:r>
    <w:r>
      <w:rPr>
        <w:rFonts w:asciiTheme="minorHAnsi" w:hAnsiTheme="minorHAnsi"/>
        <w:lang w:val="bs-Latn-BA"/>
      </w:rPr>
      <w:t xml:space="preserve">                         </w:t>
    </w:r>
    <w:r w:rsidRPr="009A0BA1">
      <w:rPr>
        <w:rFonts w:asciiTheme="minorHAnsi" w:hAnsiTheme="minorHAnsi"/>
        <w:lang w:val="bs-Latn-BA"/>
      </w:rPr>
      <w:t xml:space="preserve">Službeni list Evropske unije                        </w:t>
    </w:r>
    <w:r>
      <w:rPr>
        <w:rFonts w:asciiTheme="minorHAnsi" w:hAnsiTheme="minorHAnsi"/>
        <w:lang w:val="bs-Latn-BA"/>
      </w:rPr>
      <w:tab/>
    </w:r>
    <w:r w:rsidRPr="009A0BA1">
      <w:rPr>
        <w:rFonts w:asciiTheme="minorHAnsi" w:hAnsiTheme="minorHAnsi"/>
        <w:lang w:val="bs-Latn-BA"/>
      </w:rPr>
      <w:t>L 219/</w:t>
    </w:r>
    <w:sdt>
      <w:sdtPr>
        <w:rPr>
          <w:rFonts w:asciiTheme="minorHAnsi" w:hAnsiTheme="minorHAnsi"/>
        </w:rPr>
        <w:id w:val="2681330"/>
        <w:docPartObj>
          <w:docPartGallery w:val="Page Numbers (Top of Page)"/>
          <w:docPartUnique/>
        </w:docPartObj>
      </w:sdtPr>
      <w:sdtContent>
        <w:r w:rsidRPr="009A0BA1">
          <w:rPr>
            <w:rFonts w:asciiTheme="minorHAnsi" w:hAnsiTheme="minorHAnsi"/>
          </w:rPr>
          <w:fldChar w:fldCharType="begin"/>
        </w:r>
        <w:r w:rsidRPr="009A0BA1">
          <w:rPr>
            <w:rFonts w:asciiTheme="minorHAnsi" w:hAnsiTheme="minorHAnsi"/>
          </w:rPr>
          <w:instrText xml:space="preserve"> PAGE   \* MERGEFORMAT </w:instrText>
        </w:r>
        <w:r w:rsidRPr="009A0BA1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42</w:t>
        </w:r>
        <w:r w:rsidRPr="009A0BA1">
          <w:rPr>
            <w:rFonts w:asciiTheme="minorHAnsi" w:hAnsiTheme="minorHAnsi"/>
          </w:rPr>
          <w:fldChar w:fldCharType="end"/>
        </w:r>
      </w:sdtContent>
    </w:sdt>
  </w:p>
  <w:p w:rsidR="009A0BA1" w:rsidRDefault="009A0BA1" w:rsidP="009A0BA1">
    <w:pPr>
      <w:pStyle w:val="Header"/>
    </w:pPr>
    <w:r>
      <w:t xml:space="preserve"> </w:t>
    </w:r>
  </w:p>
  <w:p w:rsidR="009A0BA1" w:rsidRDefault="009A0B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423"/>
    <w:multiLevelType w:val="hybridMultilevel"/>
    <w:tmpl w:val="D22C91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537"/>
    <w:multiLevelType w:val="hybridMultilevel"/>
    <w:tmpl w:val="C908BEC8"/>
    <w:lvl w:ilvl="0" w:tplc="DA86E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7F1C"/>
    <w:multiLevelType w:val="hybridMultilevel"/>
    <w:tmpl w:val="E49AA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915E4"/>
    <w:multiLevelType w:val="hybridMultilevel"/>
    <w:tmpl w:val="96A826E8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F4B93"/>
    <w:multiLevelType w:val="hybridMultilevel"/>
    <w:tmpl w:val="96A826E8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3484"/>
    <w:multiLevelType w:val="hybridMultilevel"/>
    <w:tmpl w:val="96A826E8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A27B5"/>
    <w:multiLevelType w:val="hybridMultilevel"/>
    <w:tmpl w:val="08FE4B66"/>
    <w:lvl w:ilvl="0" w:tplc="83FCBCDE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3392"/>
    <w:multiLevelType w:val="multilevel"/>
    <w:tmpl w:val="4AFC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F343589"/>
    <w:multiLevelType w:val="hybridMultilevel"/>
    <w:tmpl w:val="96A826E8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D148B"/>
    <w:multiLevelType w:val="hybridMultilevel"/>
    <w:tmpl w:val="96A826E8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2C3E"/>
    <w:multiLevelType w:val="hybridMultilevel"/>
    <w:tmpl w:val="29A4CBD0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077C6"/>
    <w:multiLevelType w:val="hybridMultilevel"/>
    <w:tmpl w:val="4C10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C0238"/>
    <w:multiLevelType w:val="hybridMultilevel"/>
    <w:tmpl w:val="E49AA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E6E4E"/>
    <w:multiLevelType w:val="hybridMultilevel"/>
    <w:tmpl w:val="96A826E8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10AA9"/>
    <w:multiLevelType w:val="hybridMultilevel"/>
    <w:tmpl w:val="E49AA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63DF0"/>
    <w:multiLevelType w:val="hybridMultilevel"/>
    <w:tmpl w:val="96A826E8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B0B47"/>
    <w:multiLevelType w:val="hybridMultilevel"/>
    <w:tmpl w:val="96A826E8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A5B4F"/>
    <w:multiLevelType w:val="hybridMultilevel"/>
    <w:tmpl w:val="96A826E8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B53B0"/>
    <w:multiLevelType w:val="hybridMultilevel"/>
    <w:tmpl w:val="96A826E8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01B55"/>
    <w:multiLevelType w:val="hybridMultilevel"/>
    <w:tmpl w:val="E49AA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124C6"/>
    <w:multiLevelType w:val="hybridMultilevel"/>
    <w:tmpl w:val="96A826E8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1A1D"/>
    <w:multiLevelType w:val="hybridMultilevel"/>
    <w:tmpl w:val="E49AA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C1D47"/>
    <w:multiLevelType w:val="hybridMultilevel"/>
    <w:tmpl w:val="E49AA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A68D7"/>
    <w:multiLevelType w:val="hybridMultilevel"/>
    <w:tmpl w:val="E49AA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047EB"/>
    <w:multiLevelType w:val="hybridMultilevel"/>
    <w:tmpl w:val="96A826E8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21405"/>
    <w:multiLevelType w:val="hybridMultilevel"/>
    <w:tmpl w:val="E49AA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5611A"/>
    <w:multiLevelType w:val="hybridMultilevel"/>
    <w:tmpl w:val="96A826E8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F3295"/>
    <w:multiLevelType w:val="hybridMultilevel"/>
    <w:tmpl w:val="E49AA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64545"/>
    <w:multiLevelType w:val="hybridMultilevel"/>
    <w:tmpl w:val="E49AA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54AA4"/>
    <w:multiLevelType w:val="hybridMultilevel"/>
    <w:tmpl w:val="96A826E8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67ED8"/>
    <w:multiLevelType w:val="hybridMultilevel"/>
    <w:tmpl w:val="E78EC0C0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E73B0"/>
    <w:multiLevelType w:val="hybridMultilevel"/>
    <w:tmpl w:val="96A826E8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60CB7"/>
    <w:multiLevelType w:val="hybridMultilevel"/>
    <w:tmpl w:val="E49AA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A23FA"/>
    <w:multiLevelType w:val="hybridMultilevel"/>
    <w:tmpl w:val="96A826E8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21"/>
  </w:num>
  <w:num w:numId="4">
    <w:abstractNumId w:val="12"/>
  </w:num>
  <w:num w:numId="5">
    <w:abstractNumId w:val="18"/>
  </w:num>
  <w:num w:numId="6">
    <w:abstractNumId w:val="23"/>
  </w:num>
  <w:num w:numId="7">
    <w:abstractNumId w:val="17"/>
  </w:num>
  <w:num w:numId="8">
    <w:abstractNumId w:val="26"/>
  </w:num>
  <w:num w:numId="9">
    <w:abstractNumId w:val="29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27"/>
  </w:num>
  <w:num w:numId="15">
    <w:abstractNumId w:val="22"/>
  </w:num>
  <w:num w:numId="16">
    <w:abstractNumId w:val="13"/>
  </w:num>
  <w:num w:numId="17">
    <w:abstractNumId w:val="32"/>
  </w:num>
  <w:num w:numId="18">
    <w:abstractNumId w:val="15"/>
  </w:num>
  <w:num w:numId="19">
    <w:abstractNumId w:val="9"/>
  </w:num>
  <w:num w:numId="20">
    <w:abstractNumId w:val="24"/>
  </w:num>
  <w:num w:numId="21">
    <w:abstractNumId w:val="5"/>
  </w:num>
  <w:num w:numId="22">
    <w:abstractNumId w:val="3"/>
  </w:num>
  <w:num w:numId="23">
    <w:abstractNumId w:val="20"/>
  </w:num>
  <w:num w:numId="24">
    <w:abstractNumId w:val="31"/>
  </w:num>
  <w:num w:numId="25">
    <w:abstractNumId w:val="8"/>
  </w:num>
  <w:num w:numId="26">
    <w:abstractNumId w:val="25"/>
  </w:num>
  <w:num w:numId="27">
    <w:abstractNumId w:val="16"/>
  </w:num>
  <w:num w:numId="28">
    <w:abstractNumId w:val="33"/>
  </w:num>
  <w:num w:numId="29">
    <w:abstractNumId w:val="14"/>
  </w:num>
  <w:num w:numId="30">
    <w:abstractNumId w:val="19"/>
  </w:num>
  <w:num w:numId="31">
    <w:abstractNumId w:val="4"/>
  </w:num>
  <w:num w:numId="32">
    <w:abstractNumId w:val="28"/>
  </w:num>
  <w:num w:numId="33">
    <w:abstractNumId w:val="1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F52"/>
    <w:rsid w:val="00000438"/>
    <w:rsid w:val="00001356"/>
    <w:rsid w:val="000077F4"/>
    <w:rsid w:val="000174F9"/>
    <w:rsid w:val="00023790"/>
    <w:rsid w:val="000421F7"/>
    <w:rsid w:val="00046807"/>
    <w:rsid w:val="00052A21"/>
    <w:rsid w:val="000570D9"/>
    <w:rsid w:val="00057C35"/>
    <w:rsid w:val="000609E3"/>
    <w:rsid w:val="00066A4F"/>
    <w:rsid w:val="00074F7E"/>
    <w:rsid w:val="000859CC"/>
    <w:rsid w:val="000E1605"/>
    <w:rsid w:val="000E6EF1"/>
    <w:rsid w:val="000F34A8"/>
    <w:rsid w:val="00116188"/>
    <w:rsid w:val="00145E16"/>
    <w:rsid w:val="00150F9F"/>
    <w:rsid w:val="001652FA"/>
    <w:rsid w:val="00174B8F"/>
    <w:rsid w:val="00176C2A"/>
    <w:rsid w:val="001804E6"/>
    <w:rsid w:val="00185525"/>
    <w:rsid w:val="00194C8B"/>
    <w:rsid w:val="00197931"/>
    <w:rsid w:val="001D47FF"/>
    <w:rsid w:val="001E134E"/>
    <w:rsid w:val="001E1C62"/>
    <w:rsid w:val="001E54ED"/>
    <w:rsid w:val="001F7081"/>
    <w:rsid w:val="00211C48"/>
    <w:rsid w:val="002137CB"/>
    <w:rsid w:val="0022792F"/>
    <w:rsid w:val="002350F0"/>
    <w:rsid w:val="00235B84"/>
    <w:rsid w:val="00247DA0"/>
    <w:rsid w:val="002559FC"/>
    <w:rsid w:val="00270A36"/>
    <w:rsid w:val="00276929"/>
    <w:rsid w:val="00277532"/>
    <w:rsid w:val="00285817"/>
    <w:rsid w:val="0029194C"/>
    <w:rsid w:val="00292029"/>
    <w:rsid w:val="002A11B9"/>
    <w:rsid w:val="002B707E"/>
    <w:rsid w:val="002C3358"/>
    <w:rsid w:val="002C6DA8"/>
    <w:rsid w:val="002E09B5"/>
    <w:rsid w:val="002F128D"/>
    <w:rsid w:val="002F1454"/>
    <w:rsid w:val="002F4FCE"/>
    <w:rsid w:val="00304A9A"/>
    <w:rsid w:val="00306B3E"/>
    <w:rsid w:val="00315814"/>
    <w:rsid w:val="0032341B"/>
    <w:rsid w:val="00330219"/>
    <w:rsid w:val="00330EC8"/>
    <w:rsid w:val="00342716"/>
    <w:rsid w:val="00346746"/>
    <w:rsid w:val="00354668"/>
    <w:rsid w:val="003552AE"/>
    <w:rsid w:val="00371F52"/>
    <w:rsid w:val="0037463A"/>
    <w:rsid w:val="00381319"/>
    <w:rsid w:val="00383468"/>
    <w:rsid w:val="003835C0"/>
    <w:rsid w:val="00383FAF"/>
    <w:rsid w:val="0039233C"/>
    <w:rsid w:val="00395374"/>
    <w:rsid w:val="0039683D"/>
    <w:rsid w:val="003A3BFF"/>
    <w:rsid w:val="003C494A"/>
    <w:rsid w:val="003C6CCA"/>
    <w:rsid w:val="003E52DA"/>
    <w:rsid w:val="003E5E48"/>
    <w:rsid w:val="003E7747"/>
    <w:rsid w:val="003F2D5C"/>
    <w:rsid w:val="004052B2"/>
    <w:rsid w:val="00407B06"/>
    <w:rsid w:val="00441663"/>
    <w:rsid w:val="00441F8A"/>
    <w:rsid w:val="00444116"/>
    <w:rsid w:val="00453A70"/>
    <w:rsid w:val="00476E37"/>
    <w:rsid w:val="00496B1D"/>
    <w:rsid w:val="00497F15"/>
    <w:rsid w:val="004C389F"/>
    <w:rsid w:val="004C6AED"/>
    <w:rsid w:val="004E73E9"/>
    <w:rsid w:val="004F34F5"/>
    <w:rsid w:val="005270DE"/>
    <w:rsid w:val="00553769"/>
    <w:rsid w:val="00562D84"/>
    <w:rsid w:val="0056452F"/>
    <w:rsid w:val="00566791"/>
    <w:rsid w:val="0057016F"/>
    <w:rsid w:val="005736E6"/>
    <w:rsid w:val="005926AE"/>
    <w:rsid w:val="0059653F"/>
    <w:rsid w:val="005F576C"/>
    <w:rsid w:val="00600627"/>
    <w:rsid w:val="00601807"/>
    <w:rsid w:val="00606960"/>
    <w:rsid w:val="0061588A"/>
    <w:rsid w:val="00617FE8"/>
    <w:rsid w:val="00633CF5"/>
    <w:rsid w:val="006352BB"/>
    <w:rsid w:val="00643229"/>
    <w:rsid w:val="00645F3C"/>
    <w:rsid w:val="00650689"/>
    <w:rsid w:val="00652BB7"/>
    <w:rsid w:val="00660154"/>
    <w:rsid w:val="006671FB"/>
    <w:rsid w:val="00667597"/>
    <w:rsid w:val="006744AC"/>
    <w:rsid w:val="00680A95"/>
    <w:rsid w:val="006A4A57"/>
    <w:rsid w:val="006A4BA5"/>
    <w:rsid w:val="006B21E8"/>
    <w:rsid w:val="006C4231"/>
    <w:rsid w:val="006D29FC"/>
    <w:rsid w:val="006F0B44"/>
    <w:rsid w:val="006F17FC"/>
    <w:rsid w:val="006F615E"/>
    <w:rsid w:val="007019CC"/>
    <w:rsid w:val="00753B05"/>
    <w:rsid w:val="00755B19"/>
    <w:rsid w:val="00784B74"/>
    <w:rsid w:val="00797EE0"/>
    <w:rsid w:val="007A448B"/>
    <w:rsid w:val="007A4F5B"/>
    <w:rsid w:val="007A6FC3"/>
    <w:rsid w:val="007B739A"/>
    <w:rsid w:val="007B7B3B"/>
    <w:rsid w:val="007C3C27"/>
    <w:rsid w:val="007D1AC8"/>
    <w:rsid w:val="008046A8"/>
    <w:rsid w:val="00811574"/>
    <w:rsid w:val="00821AE8"/>
    <w:rsid w:val="0083063C"/>
    <w:rsid w:val="0084157F"/>
    <w:rsid w:val="008525F9"/>
    <w:rsid w:val="00862855"/>
    <w:rsid w:val="008677BF"/>
    <w:rsid w:val="008711B9"/>
    <w:rsid w:val="008773CD"/>
    <w:rsid w:val="00885C33"/>
    <w:rsid w:val="00886C49"/>
    <w:rsid w:val="0089053B"/>
    <w:rsid w:val="008A29CA"/>
    <w:rsid w:val="008C67A8"/>
    <w:rsid w:val="008C68A6"/>
    <w:rsid w:val="008D25C9"/>
    <w:rsid w:val="008D43CD"/>
    <w:rsid w:val="008D5444"/>
    <w:rsid w:val="008D6016"/>
    <w:rsid w:val="008E7CAC"/>
    <w:rsid w:val="008F4828"/>
    <w:rsid w:val="00900192"/>
    <w:rsid w:val="00900C0C"/>
    <w:rsid w:val="009025F3"/>
    <w:rsid w:val="009254F6"/>
    <w:rsid w:val="009360E1"/>
    <w:rsid w:val="00950B2C"/>
    <w:rsid w:val="00956436"/>
    <w:rsid w:val="00967789"/>
    <w:rsid w:val="0099477C"/>
    <w:rsid w:val="009969D1"/>
    <w:rsid w:val="009A0BA1"/>
    <w:rsid w:val="009A2BC2"/>
    <w:rsid w:val="009A4034"/>
    <w:rsid w:val="009A6E9A"/>
    <w:rsid w:val="009B4C60"/>
    <w:rsid w:val="009D0989"/>
    <w:rsid w:val="009D0D48"/>
    <w:rsid w:val="009E424D"/>
    <w:rsid w:val="009E67D3"/>
    <w:rsid w:val="009F16F4"/>
    <w:rsid w:val="009F4DBB"/>
    <w:rsid w:val="00A1098C"/>
    <w:rsid w:val="00A165CA"/>
    <w:rsid w:val="00A305EF"/>
    <w:rsid w:val="00A36473"/>
    <w:rsid w:val="00A365DC"/>
    <w:rsid w:val="00A450CB"/>
    <w:rsid w:val="00A469DA"/>
    <w:rsid w:val="00A50CE8"/>
    <w:rsid w:val="00A529FD"/>
    <w:rsid w:val="00A63118"/>
    <w:rsid w:val="00A9145C"/>
    <w:rsid w:val="00A94598"/>
    <w:rsid w:val="00AA5D05"/>
    <w:rsid w:val="00AA7B4C"/>
    <w:rsid w:val="00AB5015"/>
    <w:rsid w:val="00AD2FB0"/>
    <w:rsid w:val="00AD36EF"/>
    <w:rsid w:val="00B023AE"/>
    <w:rsid w:val="00B0356D"/>
    <w:rsid w:val="00B07D9F"/>
    <w:rsid w:val="00B13892"/>
    <w:rsid w:val="00B13B05"/>
    <w:rsid w:val="00B149A4"/>
    <w:rsid w:val="00B22390"/>
    <w:rsid w:val="00B40E7D"/>
    <w:rsid w:val="00B50205"/>
    <w:rsid w:val="00B563C2"/>
    <w:rsid w:val="00B740EA"/>
    <w:rsid w:val="00B82B6B"/>
    <w:rsid w:val="00B84671"/>
    <w:rsid w:val="00BA110C"/>
    <w:rsid w:val="00BA1C57"/>
    <w:rsid w:val="00BB74E4"/>
    <w:rsid w:val="00BE1B1C"/>
    <w:rsid w:val="00BE6029"/>
    <w:rsid w:val="00BF394E"/>
    <w:rsid w:val="00BF4E0F"/>
    <w:rsid w:val="00C2126A"/>
    <w:rsid w:val="00C22289"/>
    <w:rsid w:val="00C705A6"/>
    <w:rsid w:val="00CB5FD4"/>
    <w:rsid w:val="00CC27CA"/>
    <w:rsid w:val="00CD6778"/>
    <w:rsid w:val="00CF1BF9"/>
    <w:rsid w:val="00CF4795"/>
    <w:rsid w:val="00CF4A36"/>
    <w:rsid w:val="00D2239B"/>
    <w:rsid w:val="00D258C8"/>
    <w:rsid w:val="00D319EA"/>
    <w:rsid w:val="00D57847"/>
    <w:rsid w:val="00D62B74"/>
    <w:rsid w:val="00D8421B"/>
    <w:rsid w:val="00D8765A"/>
    <w:rsid w:val="00D9697C"/>
    <w:rsid w:val="00D9712D"/>
    <w:rsid w:val="00D97F89"/>
    <w:rsid w:val="00DA0099"/>
    <w:rsid w:val="00DA3DF1"/>
    <w:rsid w:val="00DC5305"/>
    <w:rsid w:val="00DD00B5"/>
    <w:rsid w:val="00DF3133"/>
    <w:rsid w:val="00E021D9"/>
    <w:rsid w:val="00E104AE"/>
    <w:rsid w:val="00E106F9"/>
    <w:rsid w:val="00E21F7C"/>
    <w:rsid w:val="00E244C4"/>
    <w:rsid w:val="00E34034"/>
    <w:rsid w:val="00E37065"/>
    <w:rsid w:val="00E544A6"/>
    <w:rsid w:val="00E62DD9"/>
    <w:rsid w:val="00E72609"/>
    <w:rsid w:val="00E81DE2"/>
    <w:rsid w:val="00E92C79"/>
    <w:rsid w:val="00E94EB3"/>
    <w:rsid w:val="00EA0643"/>
    <w:rsid w:val="00EA45AC"/>
    <w:rsid w:val="00EB31F4"/>
    <w:rsid w:val="00EB6332"/>
    <w:rsid w:val="00ED3AE0"/>
    <w:rsid w:val="00ED725B"/>
    <w:rsid w:val="00EE1B65"/>
    <w:rsid w:val="00EE7BDD"/>
    <w:rsid w:val="00EF7208"/>
    <w:rsid w:val="00F22A7D"/>
    <w:rsid w:val="00F53A7D"/>
    <w:rsid w:val="00F61C0A"/>
    <w:rsid w:val="00F64145"/>
    <w:rsid w:val="00F6474B"/>
    <w:rsid w:val="00F675FD"/>
    <w:rsid w:val="00F71B90"/>
    <w:rsid w:val="00F7307F"/>
    <w:rsid w:val="00F74D98"/>
    <w:rsid w:val="00F86E99"/>
    <w:rsid w:val="00F9215E"/>
    <w:rsid w:val="00FA1000"/>
    <w:rsid w:val="00FA5556"/>
    <w:rsid w:val="00FA658D"/>
    <w:rsid w:val="00FB1E7C"/>
    <w:rsid w:val="00FF3892"/>
    <w:rsid w:val="00FF5138"/>
    <w:rsid w:val="00FF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29"/>
    <w:pPr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F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37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row">
    <w:name w:val="arrow"/>
    <w:basedOn w:val="Normal"/>
    <w:rsid w:val="0037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1F52"/>
    <w:rPr>
      <w:color w:val="0000FF"/>
      <w:u w:val="single"/>
    </w:rPr>
  </w:style>
  <w:style w:type="paragraph" w:customStyle="1" w:styleId="title-doc-first">
    <w:name w:val="title-doc-first"/>
    <w:basedOn w:val="Normal"/>
    <w:rsid w:val="0037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-doc-last">
    <w:name w:val="title-doc-last"/>
    <w:basedOn w:val="Normal"/>
    <w:rsid w:val="0037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-doc-oj-reference">
    <w:name w:val="title-doc-oj-reference"/>
    <w:basedOn w:val="Normal"/>
    <w:rsid w:val="0037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">
    <w:name w:val="norm"/>
    <w:basedOn w:val="Normal"/>
    <w:rsid w:val="0037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d-toc-2">
    <w:name w:val="hd-toc-2"/>
    <w:basedOn w:val="Normal"/>
    <w:rsid w:val="0037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d-toc-3">
    <w:name w:val="hd-toc-3"/>
    <w:basedOn w:val="Normal"/>
    <w:rsid w:val="0037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-fam-member-star">
    <w:name w:val="title-fam-member-star"/>
    <w:basedOn w:val="Normal"/>
    <w:rsid w:val="0037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-1">
    <w:name w:val="toc-1"/>
    <w:basedOn w:val="Normal"/>
    <w:rsid w:val="0037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-2">
    <w:name w:val="toc-2"/>
    <w:basedOn w:val="Normal"/>
    <w:rsid w:val="0037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7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uperscript">
    <w:name w:val="superscript"/>
    <w:basedOn w:val="DefaultParagraphFont"/>
    <w:rsid w:val="00371F52"/>
  </w:style>
  <w:style w:type="paragraph" w:customStyle="1" w:styleId="title-division-1">
    <w:name w:val="title-division-1"/>
    <w:basedOn w:val="Normal"/>
    <w:rsid w:val="0037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dref">
    <w:name w:val="modref"/>
    <w:basedOn w:val="Normal"/>
    <w:rsid w:val="0037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-division-2">
    <w:name w:val="title-division-2"/>
    <w:basedOn w:val="Normal"/>
    <w:rsid w:val="0037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face">
    <w:name w:val="boldface"/>
    <w:basedOn w:val="DefaultParagraphFont"/>
    <w:rsid w:val="00371F52"/>
  </w:style>
  <w:style w:type="paragraph" w:customStyle="1" w:styleId="title-article-norm">
    <w:name w:val="title-article-norm"/>
    <w:basedOn w:val="Normal"/>
    <w:rsid w:val="0037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itle-article-norm">
    <w:name w:val="stitle-article-norm"/>
    <w:basedOn w:val="Normal"/>
    <w:rsid w:val="0037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alics">
    <w:name w:val="italics"/>
    <w:basedOn w:val="DefaultParagraphFont"/>
    <w:rsid w:val="00371F52"/>
  </w:style>
  <w:style w:type="paragraph" w:customStyle="1" w:styleId="footnote">
    <w:name w:val="footnote"/>
    <w:basedOn w:val="Normal"/>
    <w:rsid w:val="00383FAF"/>
    <w:pPr>
      <w:spacing w:before="100" w:beforeAutospacing="1" w:after="100" w:afterAutospacing="1"/>
    </w:pPr>
    <w:rPr>
      <w:rFonts w:asciiTheme="minorHAnsi" w:eastAsia="Times New Roman" w:hAnsiTheme="minorHAnsi" w:cs="Times New Roman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45E16"/>
    <w:pPr>
      <w:widowControl w:val="0"/>
      <w:ind w:left="113"/>
    </w:pPr>
    <w:rPr>
      <w:rFonts w:ascii="PMingLiU" w:eastAsia="PMingLiU" w:hAnsi="PMingLiU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45E16"/>
    <w:rPr>
      <w:rFonts w:ascii="PMingLiU" w:eastAsia="PMingLiU" w:hAnsi="PMingLiU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5270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467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671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467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83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E5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E4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E48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E4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95374"/>
    <w:rPr>
      <w:rFonts w:ascii="Verdana" w:hAnsi="Verdana"/>
      <w:sz w:val="20"/>
    </w:rPr>
  </w:style>
  <w:style w:type="paragraph" w:styleId="Header">
    <w:name w:val="header"/>
    <w:basedOn w:val="Normal"/>
    <w:link w:val="HeaderChar"/>
    <w:uiPriority w:val="99"/>
    <w:unhideWhenUsed/>
    <w:rsid w:val="009A0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BA1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A0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BA1"/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4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2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7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43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26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920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7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6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7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8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47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5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9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4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0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6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5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0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1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3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1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9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2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2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0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6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1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5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2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9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72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1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69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81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5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4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89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2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7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9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0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8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3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5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7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5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6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3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54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1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1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8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11</Pages>
  <Words>3748</Words>
  <Characters>23692</Characters>
  <Application>Microsoft Office Word</Application>
  <DocSecurity>0</DocSecurity>
  <Lines>607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393</cp:revision>
  <dcterms:created xsi:type="dcterms:W3CDTF">2016-09-23T13:19:00Z</dcterms:created>
  <dcterms:modified xsi:type="dcterms:W3CDTF">2017-01-11T09:37:00Z</dcterms:modified>
</cp:coreProperties>
</file>