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A5" w:rsidRPr="00D9488A" w:rsidRDefault="00006EA5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DIREKTIVA VIJEĆA 2013/51/EURATOM</w:t>
      </w:r>
    </w:p>
    <w:p w:rsidR="008F3737" w:rsidRPr="00D9488A" w:rsidRDefault="008F3737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</w:p>
    <w:p w:rsidR="00006EA5" w:rsidRPr="00D9488A" w:rsidRDefault="00006EA5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 xml:space="preserve">od 22. </w:t>
      </w:r>
      <w:r w:rsidR="008F3737" w:rsidRPr="00D9488A">
        <w:rPr>
          <w:rFonts w:eastAsia="Times New Roman" w:cs="Times New Roman"/>
          <w:b/>
          <w:szCs w:val="20"/>
          <w:lang w:val="hr-HR" w:eastAsia="en-GB"/>
        </w:rPr>
        <w:t>oktobra</w:t>
      </w:r>
      <w:r w:rsidRPr="00D9488A">
        <w:rPr>
          <w:rFonts w:eastAsia="Times New Roman" w:cs="Times New Roman"/>
          <w:b/>
          <w:szCs w:val="20"/>
          <w:lang w:val="hr-HR" w:eastAsia="en-GB"/>
        </w:rPr>
        <w:t xml:space="preserve"> 2013.</w:t>
      </w:r>
    </w:p>
    <w:p w:rsidR="008F3737" w:rsidRPr="00D9488A" w:rsidRDefault="008F3737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</w:p>
    <w:p w:rsidR="00006EA5" w:rsidRPr="00D9488A" w:rsidRDefault="00006EA5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 xml:space="preserve">o utvrđivanju zahtjeva za zaštitu zdravlja stanovništva od radioaktivnih </w:t>
      </w:r>
      <w:r w:rsidR="00145530" w:rsidRPr="00D9488A">
        <w:rPr>
          <w:rFonts w:eastAsia="Times New Roman" w:cs="Times New Roman"/>
          <w:b/>
          <w:szCs w:val="20"/>
          <w:lang w:val="hr-HR" w:eastAsia="en-GB"/>
        </w:rPr>
        <w:t>supstanci</w:t>
      </w:r>
      <w:r w:rsidRPr="00D9488A">
        <w:rPr>
          <w:rFonts w:eastAsia="Times New Roman" w:cs="Times New Roman"/>
          <w:b/>
          <w:szCs w:val="20"/>
          <w:lang w:val="hr-HR" w:eastAsia="en-GB"/>
        </w:rPr>
        <w:t xml:space="preserve"> u vodi namijenjenoj za ljudsku potrošnju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VIJEĆE E</w:t>
      </w:r>
      <w:r w:rsidR="008F3737" w:rsidRPr="00D9488A">
        <w:rPr>
          <w:rFonts w:eastAsia="Times New Roman" w:cs="Times New Roman"/>
          <w:szCs w:val="20"/>
          <w:lang w:val="hr-HR" w:eastAsia="en-GB"/>
        </w:rPr>
        <w:t>V</w:t>
      </w:r>
      <w:r w:rsidRPr="00D9488A">
        <w:rPr>
          <w:rFonts w:eastAsia="Times New Roman" w:cs="Times New Roman"/>
          <w:szCs w:val="20"/>
          <w:lang w:val="hr-HR" w:eastAsia="en-GB"/>
        </w:rPr>
        <w:t>ROPSKE UNIJE,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145530" w:rsidP="008F3737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U</w:t>
      </w:r>
      <w:r w:rsidR="00006EA5" w:rsidRPr="00D9488A">
        <w:rPr>
          <w:rFonts w:eastAsia="Times New Roman" w:cs="Times New Roman"/>
          <w:szCs w:val="20"/>
          <w:lang w:val="hr-HR" w:eastAsia="en-GB"/>
        </w:rPr>
        <w:t>zimajući u obzir Ugovor o osnivanju E</w:t>
      </w:r>
      <w:r w:rsidR="008F3737" w:rsidRPr="00D9488A">
        <w:rPr>
          <w:rFonts w:eastAsia="Times New Roman" w:cs="Times New Roman"/>
          <w:szCs w:val="20"/>
          <w:lang w:val="hr-HR" w:eastAsia="en-GB"/>
        </w:rPr>
        <w:t>v</w:t>
      </w:r>
      <w:r w:rsidR="00006EA5" w:rsidRPr="00D9488A">
        <w:rPr>
          <w:rFonts w:eastAsia="Times New Roman" w:cs="Times New Roman"/>
          <w:szCs w:val="20"/>
          <w:lang w:val="hr-HR" w:eastAsia="en-GB"/>
        </w:rPr>
        <w:t>ropske zajednice za atomsku energiju, a posebno njegove član</w:t>
      </w:r>
      <w:r w:rsidRPr="00D9488A">
        <w:rPr>
          <w:rFonts w:eastAsia="Times New Roman" w:cs="Times New Roman"/>
          <w:szCs w:val="20"/>
          <w:lang w:val="hr-HR" w:eastAsia="en-GB"/>
        </w:rPr>
        <w:t>ov</w:t>
      </w:r>
      <w:r w:rsidR="00006EA5" w:rsidRPr="00D9488A">
        <w:rPr>
          <w:rFonts w:eastAsia="Times New Roman" w:cs="Times New Roman"/>
          <w:szCs w:val="20"/>
          <w:lang w:val="hr-HR" w:eastAsia="en-GB"/>
        </w:rPr>
        <w:t>e 31 i 32,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145530" w:rsidP="008F3737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color w:val="1A171C"/>
          <w:szCs w:val="20"/>
          <w:lang w:val="hr-HR"/>
        </w:rPr>
        <w:t xml:space="preserve">Uzimajući u obzir prijedlog </w:t>
      </w:r>
      <w:r w:rsidR="00E7061F" w:rsidRPr="00D9488A">
        <w:rPr>
          <w:rFonts w:eastAsia="Times New Roman" w:cs="Times New Roman"/>
          <w:szCs w:val="20"/>
          <w:lang w:val="hr-HR" w:eastAsia="en-GB"/>
        </w:rPr>
        <w:t>Evropske</w:t>
      </w:r>
      <w:r w:rsidR="00E7061F" w:rsidRPr="00D9488A">
        <w:rPr>
          <w:color w:val="1A171C"/>
          <w:szCs w:val="20"/>
          <w:lang w:val="hr-HR"/>
        </w:rPr>
        <w:t xml:space="preserve"> k</w:t>
      </w:r>
      <w:r w:rsidRPr="00D9488A">
        <w:rPr>
          <w:color w:val="1A171C"/>
          <w:szCs w:val="20"/>
          <w:lang w:val="hr-HR"/>
        </w:rPr>
        <w:t xml:space="preserve">omisije, sačinjen nakon pribavljanja mišljenja grupe koju je imenovao Naučno-tehnički komitet iz reda naučnih stručnjaka država članica </w:t>
      </w:r>
      <w:r w:rsidRPr="00D9488A">
        <w:rPr>
          <w:szCs w:val="20"/>
          <w:lang w:val="hr-HR"/>
        </w:rPr>
        <w:t>u skladu sa članom 31 Ugovora</w:t>
      </w:r>
      <w:r w:rsidR="00E7061F" w:rsidRPr="00D9488A">
        <w:rPr>
          <w:rFonts w:eastAsia="Times New Roman" w:cs="Times New Roman"/>
          <w:szCs w:val="20"/>
          <w:lang w:val="hr-HR" w:eastAsia="en-GB"/>
        </w:rPr>
        <w:t xml:space="preserve"> o osnivanju Evropske zajednice za atomsku energiju</w:t>
      </w:r>
      <w:r w:rsidRPr="00D9488A">
        <w:rPr>
          <w:color w:val="1A171C"/>
          <w:szCs w:val="20"/>
          <w:lang w:val="hr-HR"/>
        </w:rPr>
        <w:t xml:space="preserve">, 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217C2F" w:rsidRPr="00D9488A" w:rsidRDefault="00145530" w:rsidP="008F3737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U</w:t>
      </w:r>
      <w:r w:rsidR="00006EA5" w:rsidRPr="00D9488A">
        <w:rPr>
          <w:rFonts w:eastAsia="Times New Roman" w:cs="Times New Roman"/>
          <w:szCs w:val="20"/>
          <w:lang w:val="hr-HR" w:eastAsia="en-GB"/>
        </w:rPr>
        <w:t>zimajući u obzir mišljenje E</w:t>
      </w:r>
      <w:r w:rsidR="008F3737" w:rsidRPr="00D9488A">
        <w:rPr>
          <w:rFonts w:eastAsia="Times New Roman" w:cs="Times New Roman"/>
          <w:szCs w:val="20"/>
          <w:lang w:val="hr-HR" w:eastAsia="en-GB"/>
        </w:rPr>
        <w:t>v</w:t>
      </w:r>
      <w:r w:rsidR="00006EA5" w:rsidRPr="00D9488A">
        <w:rPr>
          <w:rFonts w:eastAsia="Times New Roman" w:cs="Times New Roman"/>
          <w:szCs w:val="20"/>
          <w:lang w:val="hr-HR" w:eastAsia="en-GB"/>
        </w:rPr>
        <w:t>ropskog</w:t>
      </w:r>
      <w:r w:rsidR="008F3737" w:rsidRPr="00D9488A">
        <w:rPr>
          <w:rFonts w:eastAsia="Times New Roman" w:cs="Times New Roman"/>
          <w:szCs w:val="20"/>
          <w:lang w:val="hr-HR" w:eastAsia="en-GB"/>
        </w:rPr>
        <w:t xml:space="preserve"> ekonomsko-s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ocijalnog </w:t>
      </w:r>
      <w:r w:rsidRPr="00D9488A">
        <w:rPr>
          <w:rFonts w:eastAsia="Times New Roman" w:cs="Times New Roman"/>
          <w:szCs w:val="20"/>
          <w:lang w:val="hr-HR" w:eastAsia="en-GB"/>
        </w:rPr>
        <w:t>komiteta</w:t>
      </w:r>
      <w:r w:rsidR="00C02634" w:rsidRPr="00D9488A">
        <w:rPr>
          <w:rStyle w:val="FootnoteReference"/>
          <w:rFonts w:eastAsia="Times New Roman" w:cs="Times New Roman"/>
          <w:szCs w:val="20"/>
          <w:lang w:val="hr-HR" w:eastAsia="en-GB"/>
        </w:rPr>
        <w:footnoteReference w:id="1"/>
      </w:r>
      <w:hyperlink r:id="rId8" w:anchor="ntr1-L_2013296HR.01001201-E0001" w:history="1"/>
      <w:r w:rsidR="00006EA5" w:rsidRPr="00D9488A">
        <w:rPr>
          <w:rFonts w:eastAsia="Times New Roman" w:cs="Times New Roman"/>
          <w:szCs w:val="20"/>
          <w:lang w:val="hr-HR" w:eastAsia="en-GB"/>
        </w:rPr>
        <w:t>,</w:t>
      </w:r>
      <w:r w:rsidR="00217C2F" w:rsidRPr="00D9488A">
        <w:rPr>
          <w:rFonts w:eastAsia="Times New Roman" w:cs="Times New Roman"/>
          <w:szCs w:val="20"/>
          <w:lang w:val="hr-HR" w:eastAsia="en-GB"/>
        </w:rPr>
        <w:t xml:space="preserve"> </w:t>
      </w:r>
    </w:p>
    <w:p w:rsidR="00217C2F" w:rsidRPr="00D9488A" w:rsidRDefault="00217C2F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217C2F" w:rsidP="008F3737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Nakon konsultacija sa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E</w:t>
      </w:r>
      <w:r w:rsidR="008F3737" w:rsidRPr="00D9488A">
        <w:rPr>
          <w:rFonts w:eastAsia="Times New Roman" w:cs="Times New Roman"/>
          <w:szCs w:val="20"/>
          <w:lang w:val="hr-HR" w:eastAsia="en-GB"/>
        </w:rPr>
        <w:t>v</w:t>
      </w:r>
      <w:r w:rsidR="00006EA5" w:rsidRPr="00D9488A">
        <w:rPr>
          <w:rFonts w:eastAsia="Times New Roman" w:cs="Times New Roman"/>
          <w:szCs w:val="20"/>
          <w:lang w:val="hr-HR" w:eastAsia="en-GB"/>
        </w:rPr>
        <w:t>ropskim parlamentom,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145530" w:rsidP="008F3737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B</w:t>
      </w:r>
      <w:r w:rsidR="00006EA5" w:rsidRPr="00D9488A">
        <w:rPr>
          <w:rFonts w:eastAsia="Times New Roman" w:cs="Times New Roman"/>
          <w:szCs w:val="20"/>
          <w:lang w:val="hr-HR" w:eastAsia="en-GB"/>
        </w:rPr>
        <w:t>udući da: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8F3737" w:rsidRPr="00D9488A" w:rsidRDefault="008F3737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Konzumiranje vode je</w:t>
      </w:r>
      <w:r w:rsidR="00A75F92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jedan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od </w:t>
      </w:r>
      <w:r w:rsidR="00E7061F" w:rsidRPr="00D9488A">
        <w:rPr>
          <w:rFonts w:ascii="Verdana" w:hAnsi="Verdana"/>
          <w:color w:val="1A171C"/>
          <w:sz w:val="20"/>
          <w:szCs w:val="20"/>
          <w:lang w:val="hr-HR"/>
        </w:rPr>
        <w:t>puteva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unošenja radioaktivnih </w:t>
      </w:r>
      <w:r w:rsidR="00A75F92" w:rsidRPr="00D9488A">
        <w:rPr>
          <w:rFonts w:ascii="Verdana" w:hAnsi="Verdana"/>
          <w:color w:val="1A171C"/>
          <w:sz w:val="20"/>
          <w:szCs w:val="20"/>
          <w:lang w:val="hr-HR"/>
        </w:rPr>
        <w:t>supstanci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ljudsk</w:t>
      </w:r>
      <w:r w:rsidR="00E7061F" w:rsidRPr="00D9488A">
        <w:rPr>
          <w:rFonts w:ascii="Verdana" w:hAnsi="Verdana"/>
          <w:color w:val="1A171C"/>
          <w:sz w:val="20"/>
          <w:szCs w:val="20"/>
          <w:lang w:val="hr-HR"/>
        </w:rPr>
        <w:t>i organizam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. U skladu s Direktivom Vijeća 96/29/Euratom</w:t>
      </w:r>
      <w:r w:rsidR="00C02634" w:rsidRPr="00D9488A">
        <w:rPr>
          <w:rStyle w:val="FootnoteReference"/>
          <w:rFonts w:ascii="Verdana" w:hAnsi="Verdana"/>
          <w:color w:val="1A171C"/>
          <w:sz w:val="20"/>
          <w:szCs w:val="20"/>
          <w:lang w:val="hr-HR"/>
        </w:rPr>
        <w:footnoteReference w:id="2"/>
      </w:r>
      <w:r w:rsidR="00C02634" w:rsidRPr="00D9488A">
        <w:rPr>
          <w:rFonts w:ascii="Verdana" w:hAnsi="Verdana"/>
          <w:color w:val="1A171C"/>
          <w:sz w:val="20"/>
          <w:szCs w:val="20"/>
          <w:lang w:val="hr-HR"/>
        </w:rPr>
        <w:t>,</w:t>
      </w:r>
      <w:hyperlink r:id="rId9" w:anchor="ntr2-L_2013296HR.01001201-E0002" w:history="1">
        <w:r w:rsidRPr="00D9488A">
          <w:rPr>
            <w:rFonts w:ascii="Verdana" w:hAnsi="Verdana"/>
            <w:color w:val="1A171C"/>
            <w:sz w:val="20"/>
            <w:szCs w:val="20"/>
            <w:lang w:val="hr-HR"/>
          </w:rPr>
          <w:t> </w:t>
        </w:r>
      </w:hyperlink>
      <w:r w:rsidR="003A792E" w:rsidRPr="00D9488A">
        <w:rPr>
          <w:rFonts w:ascii="Verdana" w:hAnsi="Verdana"/>
          <w:color w:val="1A171C"/>
          <w:sz w:val="20"/>
          <w:szCs w:val="20"/>
          <w:lang w:val="hr-HR"/>
        </w:rPr>
        <w:t>doprino</w:t>
      </w:r>
      <w:r w:rsidR="002F1101" w:rsidRPr="00D9488A">
        <w:rPr>
          <w:rFonts w:ascii="Verdana" w:hAnsi="Verdana"/>
          <w:color w:val="1A171C"/>
          <w:sz w:val="20"/>
          <w:szCs w:val="20"/>
          <w:lang w:val="hr-HR"/>
        </w:rPr>
        <w:t xml:space="preserve">s </w:t>
      </w:r>
      <w:r w:rsidR="005208B7" w:rsidRPr="00D9488A">
        <w:rPr>
          <w:rFonts w:ascii="Verdana" w:hAnsi="Verdana"/>
          <w:color w:val="1A171C"/>
          <w:sz w:val="20"/>
          <w:szCs w:val="20"/>
          <w:lang w:val="hr-HR"/>
        </w:rPr>
        <w:t>ekspozicij</w:t>
      </w:r>
      <w:r w:rsidR="003A792E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stanovništv</w:t>
      </w:r>
      <w:r w:rsidR="005208B7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kao cjelin</w:t>
      </w:r>
      <w:r w:rsidR="00D110AB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5208B7" w:rsidRPr="00D9488A">
        <w:rPr>
          <w:rFonts w:ascii="Verdana" w:hAnsi="Verdana"/>
          <w:color w:val="1A171C"/>
          <w:sz w:val="20"/>
          <w:szCs w:val="20"/>
          <w:lang w:val="hr-HR"/>
        </w:rPr>
        <w:t>iz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djelatnosti koje uključuju </w:t>
      </w:r>
      <w:r w:rsidR="005208B7" w:rsidRPr="00D9488A">
        <w:rPr>
          <w:rFonts w:ascii="Verdana" w:hAnsi="Verdana"/>
          <w:color w:val="1A171C"/>
          <w:sz w:val="20"/>
          <w:szCs w:val="20"/>
          <w:lang w:val="hr-HR"/>
        </w:rPr>
        <w:t>rizik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od </w:t>
      </w:r>
      <w:r w:rsidR="00D43259" w:rsidRPr="00D9488A">
        <w:rPr>
          <w:rFonts w:ascii="Verdana" w:hAnsi="Verdana"/>
          <w:color w:val="1A171C"/>
          <w:sz w:val="20"/>
          <w:szCs w:val="20"/>
          <w:lang w:val="hr-HR"/>
        </w:rPr>
        <w:t>j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onizirajućeg zračenja mora se održavati </w:t>
      </w:r>
      <w:r w:rsidR="005D0344" w:rsidRPr="00D9488A">
        <w:rPr>
          <w:rFonts w:ascii="Verdana" w:hAnsi="Verdana"/>
          <w:color w:val="1A171C"/>
          <w:sz w:val="20"/>
          <w:szCs w:val="20"/>
          <w:lang w:val="hr-HR"/>
        </w:rPr>
        <w:t>što je moguće razumno niže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.</w:t>
      </w:r>
    </w:p>
    <w:p w:rsidR="008F3737" w:rsidRPr="00D9488A" w:rsidRDefault="008F3737" w:rsidP="00C02634">
      <w:pPr>
        <w:pStyle w:val="BodyText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S obzirom na značaj koj</w:t>
      </w:r>
      <w:r w:rsidR="006D2DFC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 ljudsko zdravlje ima kvalitet vode namijenjen</w:t>
      </w:r>
      <w:r w:rsidR="00A70C8F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 ljudsku potrošnju, potrebno je na </w:t>
      </w:r>
      <w:r w:rsidR="00A70C8F" w:rsidRPr="00D9488A">
        <w:rPr>
          <w:rFonts w:ascii="Verdana" w:hAnsi="Verdana"/>
          <w:color w:val="1A171C"/>
          <w:sz w:val="20"/>
          <w:szCs w:val="20"/>
          <w:lang w:val="hr-HR"/>
        </w:rPr>
        <w:t>nivou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Zajednice utvrditi standarde kvalitet</w:t>
      </w:r>
      <w:r w:rsidR="00A70C8F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koji imaju funkciju indikatora i </w:t>
      </w:r>
      <w:r w:rsidR="006D2DFC" w:rsidRPr="00D9488A">
        <w:rPr>
          <w:rFonts w:ascii="Verdana" w:hAnsi="Verdana"/>
          <w:color w:val="1A171C"/>
          <w:sz w:val="20"/>
          <w:szCs w:val="20"/>
          <w:lang w:val="hr-HR"/>
        </w:rPr>
        <w:t>predvidjeti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6D2DFC" w:rsidRPr="00D9488A">
        <w:rPr>
          <w:rFonts w:ascii="Verdana" w:hAnsi="Verdana"/>
          <w:color w:val="1A171C"/>
          <w:sz w:val="20"/>
          <w:szCs w:val="20"/>
          <w:lang w:val="hr-HR"/>
        </w:rPr>
        <w:t>praćenje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usklađenosti s tim standardima.</w:t>
      </w:r>
    </w:p>
    <w:p w:rsidR="008F3737" w:rsidRPr="00D9488A" w:rsidRDefault="008F3737" w:rsidP="00D43259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Direktiva Vijeća 98/83/EZ</w:t>
      </w:r>
      <w:r w:rsidR="003206D0" w:rsidRPr="00D9488A">
        <w:rPr>
          <w:rStyle w:val="FootnoteReference"/>
          <w:rFonts w:ascii="Verdana" w:hAnsi="Verdana"/>
          <w:color w:val="1A171C"/>
          <w:sz w:val="20"/>
          <w:szCs w:val="20"/>
          <w:lang w:val="hr-HR"/>
        </w:rPr>
        <w:footnoteReference w:id="3"/>
      </w:r>
      <w:hyperlink r:id="rId10" w:anchor="ntr3-L_2013296HR.01001201-E0003" w:history="1"/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utvrđuje parametre</w:t>
      </w:r>
      <w:r w:rsidR="006D2DFC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indikatora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vezi s radioaktivnim supstancama </w:t>
      </w:r>
      <w:r w:rsidR="0026178F"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Dijelu C Aneksa I </w:t>
      </w:r>
      <w:r w:rsidR="00113FC9" w:rsidRPr="00D9488A">
        <w:rPr>
          <w:rFonts w:ascii="Verdana" w:hAnsi="Verdana"/>
          <w:color w:val="1A171C"/>
          <w:sz w:val="20"/>
          <w:szCs w:val="20"/>
          <w:lang w:val="hr-HR"/>
        </w:rPr>
        <w:t>t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="00113FC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p</w:t>
      </w:r>
      <w:r w:rsidR="006D2DFC" w:rsidRPr="00D9488A">
        <w:rPr>
          <w:rFonts w:ascii="Verdana" w:hAnsi="Verdana"/>
          <w:color w:val="1A171C"/>
          <w:sz w:val="20"/>
          <w:szCs w:val="20"/>
          <w:lang w:val="hr-HR"/>
        </w:rPr>
        <w:t>rateće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odredbe o </w:t>
      </w:r>
      <w:r w:rsidR="009C199A" w:rsidRPr="00D9488A">
        <w:rPr>
          <w:rFonts w:ascii="Verdana" w:hAnsi="Verdana"/>
          <w:color w:val="1A171C"/>
          <w:sz w:val="20"/>
          <w:szCs w:val="20"/>
          <w:lang w:val="hr-HR"/>
        </w:rPr>
        <w:t>monitoringu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</w:t>
      </w:r>
      <w:r w:rsidR="00274C45" w:rsidRPr="00D9488A">
        <w:rPr>
          <w:rFonts w:ascii="Verdana" w:hAnsi="Verdana"/>
          <w:color w:val="1A171C"/>
          <w:sz w:val="20"/>
          <w:szCs w:val="20"/>
          <w:lang w:val="hr-HR"/>
        </w:rPr>
        <w:t>Aneks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II. Međutim, ti parametri 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>spadaju u djelokrug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osnovni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>h standard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a defini</w:t>
      </w:r>
      <w:r w:rsidR="00D43259" w:rsidRPr="00D9488A">
        <w:rPr>
          <w:rFonts w:ascii="Verdana" w:hAnsi="Verdana"/>
          <w:color w:val="1A171C"/>
          <w:sz w:val="20"/>
          <w:szCs w:val="20"/>
          <w:lang w:val="hr-HR"/>
        </w:rPr>
        <w:t>s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ani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>h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članu 30 Ugovora o Euratomu.</w:t>
      </w:r>
    </w:p>
    <w:p w:rsidR="008F3737" w:rsidRPr="00D9488A" w:rsidRDefault="008F3737" w:rsidP="00D43259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Zahtjeve za </w:t>
      </w:r>
      <w:r w:rsidR="00F77C0D" w:rsidRPr="00D9488A">
        <w:rPr>
          <w:rFonts w:ascii="Verdana" w:hAnsi="Verdana"/>
          <w:color w:val="1A171C"/>
          <w:sz w:val="20"/>
          <w:szCs w:val="20"/>
          <w:lang w:val="hr-HR"/>
        </w:rPr>
        <w:t>monitoring nivoa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radioaktivnih </w:t>
      </w:r>
      <w:r w:rsidR="00F77C0D" w:rsidRPr="00D9488A">
        <w:rPr>
          <w:rFonts w:ascii="Verdana" w:hAnsi="Verdana"/>
          <w:color w:val="1A171C"/>
          <w:sz w:val="20"/>
          <w:szCs w:val="20"/>
          <w:lang w:val="hr-HR"/>
        </w:rPr>
        <w:t>supstanci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vodi namijenjenoj za ljudsku potrošnju 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bi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stoga trebalo donijeti posebnim zakonodavnim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aktom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koji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>m se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osigurava ujednačenost, 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>povezanost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 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>potpunost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zakonodavstva o zaštiti od zračenja u skladu s Ugovorom o 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>osnivanju Euratoma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.</w:t>
      </w:r>
    </w:p>
    <w:p w:rsidR="00006EA5" w:rsidRPr="00D9488A" w:rsidRDefault="00006EA5" w:rsidP="00D43259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26178F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Pošto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je Zajednica nadležna za donošenje osnovnih sigurnosnih standarda za zaštitu zdravlja zaposlenih i stanovništva od opasnosti 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koje potiču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od jonizirajućeg zračenja, odredb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>ama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ove </w:t>
      </w:r>
      <w:r w:rsidR="003206D0" w:rsidRPr="00D9488A">
        <w:rPr>
          <w:rFonts w:ascii="Verdana" w:hAnsi="Verdana"/>
          <w:color w:val="1A171C"/>
          <w:sz w:val="20"/>
          <w:szCs w:val="20"/>
          <w:lang w:val="hr-HR"/>
        </w:rPr>
        <w:t>d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irektive 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>se van snage stavljaju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one iz Direktive 98/83/EZ u pogledu zahtjeva za zaštitu zdravlja stanovništva od radioaktivnih </w:t>
      </w:r>
      <w:r w:rsidR="00EB6CC0" w:rsidRPr="00D9488A">
        <w:rPr>
          <w:rFonts w:ascii="Verdana" w:hAnsi="Verdana"/>
          <w:color w:val="1A171C"/>
          <w:sz w:val="20"/>
          <w:szCs w:val="20"/>
          <w:lang w:val="hr-HR"/>
        </w:rPr>
        <w:t>supstanci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vodi namijenjenoj za ljudsku potrošnju.</w:t>
      </w:r>
    </w:p>
    <w:p w:rsidR="00EB6CC0" w:rsidRPr="00D9488A" w:rsidRDefault="00EB6CC0" w:rsidP="00EB6CC0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2230C9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lastRenderedPageBreak/>
        <w:t>Kao što je priznato sudskom praksom Suda Evropske unije,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zadaci određeni Zajednici u članu 2 tačka (b) Ugovora o osnivanju Euratoma da </w:t>
      </w:r>
      <w:r w:rsidR="009F4795" w:rsidRPr="00D9488A">
        <w:rPr>
          <w:rFonts w:ascii="Verdana" w:hAnsi="Verdana"/>
          <w:color w:val="1A171C"/>
          <w:sz w:val="20"/>
          <w:szCs w:val="20"/>
          <w:lang w:val="hr-HR"/>
        </w:rPr>
        <w:t>utvrdi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jedinstvene sigurnosne standarde u cilju zaštite zdravlja zaposlenih i stanovništva ne sprečavaju državu članicu da predvidi strožije mjere zaštite osim ako je tako eksplicitno navedeno u </w:t>
      </w:r>
      <w:r w:rsidR="009F4795" w:rsidRPr="00D9488A">
        <w:rPr>
          <w:rFonts w:ascii="Verdana" w:hAnsi="Verdana"/>
          <w:color w:val="1A171C"/>
          <w:sz w:val="20"/>
          <w:szCs w:val="20"/>
          <w:lang w:val="hr-HR"/>
        </w:rPr>
        <w:t xml:space="preserve">tim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standardima.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Pošto ova direktiva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predviđa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minimalna pravila, države članice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bi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trebale imati slobodu donošenja ili zadržavanja stroži</w:t>
      </w:r>
      <w:r w:rsidR="009F2F4F" w:rsidRPr="00D9488A">
        <w:rPr>
          <w:rFonts w:ascii="Verdana" w:hAnsi="Verdana"/>
          <w:color w:val="1A171C"/>
          <w:sz w:val="20"/>
          <w:szCs w:val="20"/>
          <w:lang w:val="hr-HR"/>
        </w:rPr>
        <w:t>ji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h mje</w:t>
      </w:r>
      <w:r w:rsidR="00D4325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ra u </w:t>
      </w:r>
      <w:r w:rsidR="009F2F4F" w:rsidRPr="00D9488A">
        <w:rPr>
          <w:rFonts w:ascii="Verdana" w:hAnsi="Verdana"/>
          <w:color w:val="1A171C"/>
          <w:sz w:val="20"/>
          <w:szCs w:val="20"/>
          <w:lang w:val="hr-HR"/>
        </w:rPr>
        <w:t>oblasti obuhvaćenoj</w:t>
      </w:r>
      <w:r w:rsidR="00D4325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ovom d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irektivom, ne dovodeći u pitanje slobodu kretanja robe na unutr</w:t>
      </w:r>
      <w:r w:rsidR="00D43259" w:rsidRPr="00D9488A">
        <w:rPr>
          <w:rFonts w:ascii="Verdana" w:hAnsi="Verdana"/>
          <w:color w:val="1A171C"/>
          <w:sz w:val="20"/>
          <w:szCs w:val="20"/>
          <w:lang w:val="hr-HR"/>
        </w:rPr>
        <w:t>aš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njem tržištu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na način definisan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sudskom praksom Suda.</w:t>
      </w:r>
    </w:p>
    <w:p w:rsidR="008F3737" w:rsidRPr="00D9488A" w:rsidRDefault="008F3737" w:rsidP="00D43259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Vrijednosti parametara ne treba smatrati graničnim vrijednostima. U slučaju da </w:t>
      </w:r>
      <w:r w:rsidR="00A72566" w:rsidRPr="00D9488A">
        <w:rPr>
          <w:rFonts w:ascii="Verdana" w:hAnsi="Verdana"/>
          <w:color w:val="1A171C"/>
          <w:sz w:val="20"/>
          <w:szCs w:val="20"/>
          <w:lang w:val="hr-HR"/>
        </w:rPr>
        <w:t>monitoring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vode namijenjene za ljudsku potrošnju u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>kaže na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32532C" w:rsidRPr="00D9488A">
        <w:rPr>
          <w:rFonts w:ascii="Verdana" w:hAnsi="Verdana"/>
          <w:color w:val="1A171C"/>
          <w:sz w:val="20"/>
          <w:szCs w:val="20"/>
          <w:lang w:val="hr-HR"/>
        </w:rPr>
        <w:t>neusklađenost sa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5C5D6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nekom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vrijedno</w:t>
      </w:r>
      <w:r w:rsidR="005C5D69" w:rsidRPr="00D9488A">
        <w:rPr>
          <w:rFonts w:ascii="Verdana" w:hAnsi="Verdana"/>
          <w:color w:val="1A171C"/>
          <w:sz w:val="20"/>
          <w:szCs w:val="20"/>
          <w:lang w:val="hr-HR"/>
        </w:rPr>
        <w:t>šću paramet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ra, d</w:t>
      </w:r>
      <w:r w:rsidR="00A72566" w:rsidRPr="00D9488A">
        <w:rPr>
          <w:rFonts w:ascii="Verdana" w:hAnsi="Verdana"/>
          <w:color w:val="1A171C"/>
          <w:sz w:val="20"/>
          <w:szCs w:val="20"/>
          <w:lang w:val="hr-HR"/>
        </w:rPr>
        <w:t>ata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država članica treba razmotriti </w:t>
      </w:r>
      <w:r w:rsidR="002230C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da li to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predstavlja rizik za ljudsko zdravlje koji zahtijeva </w:t>
      </w:r>
      <w:r w:rsidR="009B62B0" w:rsidRPr="00D9488A">
        <w:rPr>
          <w:rFonts w:ascii="Verdana" w:hAnsi="Verdana"/>
          <w:color w:val="1A171C"/>
          <w:sz w:val="20"/>
          <w:szCs w:val="20"/>
          <w:lang w:val="hr-HR"/>
        </w:rPr>
        <w:t>mjere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i, kada je to potrebno, </w:t>
      </w:r>
      <w:r w:rsidR="009B62B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treba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p</w:t>
      </w:r>
      <w:r w:rsidR="00117F4B">
        <w:rPr>
          <w:rFonts w:ascii="Verdana" w:hAnsi="Verdana"/>
          <w:color w:val="1A171C"/>
          <w:sz w:val="20"/>
          <w:szCs w:val="20"/>
          <w:lang w:val="hr-HR"/>
        </w:rPr>
        <w:t>re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duzeti mjere </w:t>
      </w:r>
      <w:r w:rsidR="005C5D69" w:rsidRPr="00D9488A">
        <w:rPr>
          <w:rFonts w:ascii="Verdana" w:hAnsi="Verdana"/>
          <w:color w:val="1A171C"/>
          <w:sz w:val="20"/>
          <w:szCs w:val="20"/>
          <w:lang w:val="hr-HR"/>
        </w:rPr>
        <w:t>sanacije u cilju</w:t>
      </w:r>
      <w:r w:rsidR="009B62B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unapređenj</w:t>
      </w:r>
      <w:r w:rsidR="005C5D69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="009B62B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kvaliteta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vode </w:t>
      </w:r>
      <w:r w:rsidR="009B62B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do nivoa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koj</w:t>
      </w:r>
      <w:r w:rsidR="00A72566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je u skladu s</w:t>
      </w:r>
      <w:r w:rsidR="009B62B0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zahtjevima za zaštitu ljudskog zdravlja sa </w:t>
      </w:r>
      <w:r w:rsidR="009B62B0" w:rsidRPr="00D9488A">
        <w:rPr>
          <w:rFonts w:ascii="Verdana" w:hAnsi="Verdana"/>
          <w:color w:val="1A171C"/>
          <w:sz w:val="20"/>
          <w:szCs w:val="20"/>
          <w:lang w:val="hr-HR"/>
        </w:rPr>
        <w:t>aspekt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a zaštite od zračenja.</w:t>
      </w:r>
    </w:p>
    <w:p w:rsidR="008F3737" w:rsidRPr="00D9488A" w:rsidRDefault="008F3737" w:rsidP="00D43259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AD0C25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U svrhu provjere da li su nivoi radioaktivnih supstanci u skladu s vrijednostima parametara utvrđenim u skladu s ovom direktivom, monitoring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</w:t>
      </w:r>
      <w:r w:rsidR="001D6A47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namijenjen</w:t>
      </w:r>
      <w:r w:rsidR="001D6A47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 ljudsku potrošnju koj</w:t>
      </w:r>
      <w:r w:rsidR="001D6A47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625D9E" w:rsidRPr="00D9488A">
        <w:rPr>
          <w:rFonts w:ascii="Verdana" w:hAnsi="Verdana"/>
          <w:color w:val="1A171C"/>
          <w:sz w:val="20"/>
          <w:szCs w:val="20"/>
          <w:lang w:val="hr-HR"/>
        </w:rPr>
        <w:t>se flašira ili stavlja u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A24B6F" w:rsidRPr="00D9488A">
        <w:rPr>
          <w:rFonts w:ascii="Verdana" w:hAnsi="Verdana"/>
          <w:color w:val="1A171C"/>
          <w:sz w:val="20"/>
          <w:szCs w:val="20"/>
          <w:lang w:val="hr-HR"/>
        </w:rPr>
        <w:t>ambalažu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101AC2" w:rsidRPr="00D9488A">
        <w:rPr>
          <w:rFonts w:ascii="Verdana" w:hAnsi="Verdana"/>
          <w:color w:val="1A171C"/>
          <w:sz w:val="20"/>
          <w:szCs w:val="20"/>
          <w:lang w:val="hr-HR"/>
        </w:rPr>
        <w:t>radi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prodaj</w:t>
      </w:r>
      <w:r w:rsidR="00101AC2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4F1AEE">
        <w:rPr>
          <w:rFonts w:ascii="Verdana" w:hAnsi="Verdana"/>
          <w:color w:val="1A171C"/>
          <w:sz w:val="20"/>
          <w:szCs w:val="20"/>
          <w:lang w:val="hr-HR"/>
        </w:rPr>
        <w:t xml:space="preserve">i </w:t>
      </w:r>
      <w:r w:rsidR="00274F5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sa izuzetkom prirodnih mineralnih voda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treba obavljati u skladu s načelima analize opasnosti i k</w:t>
      </w:r>
      <w:r w:rsidR="00393D22" w:rsidRPr="00D9488A">
        <w:rPr>
          <w:rFonts w:ascii="Verdana" w:hAnsi="Verdana"/>
          <w:color w:val="1A171C"/>
          <w:sz w:val="20"/>
          <w:szCs w:val="20"/>
          <w:lang w:val="hr-HR"/>
        </w:rPr>
        <w:t>ritičnih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kontrolnih t</w:t>
      </w:r>
      <w:r w:rsidR="00A72566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čaka (HACCP), </w:t>
      </w:r>
      <w:r w:rsidR="00A72566" w:rsidRPr="00D9488A">
        <w:rPr>
          <w:rFonts w:ascii="Verdana" w:hAnsi="Verdana"/>
          <w:color w:val="1A171C"/>
          <w:sz w:val="20"/>
          <w:szCs w:val="20"/>
          <w:lang w:val="hr-HR"/>
        </w:rPr>
        <w:t>na način propisan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Uredbom (EZ) </w:t>
      </w:r>
      <w:r w:rsidR="004F1AEE" w:rsidRPr="00D9488A">
        <w:rPr>
          <w:rFonts w:ascii="Verdana" w:hAnsi="Verdana"/>
          <w:color w:val="1A171C"/>
          <w:sz w:val="20"/>
          <w:szCs w:val="20"/>
          <w:lang w:val="hr-HR"/>
        </w:rPr>
        <w:t xml:space="preserve">Evropskog parlamenta i Vijeća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br. 852/2004</w:t>
      </w:r>
      <w:r w:rsidR="003206D0" w:rsidRPr="00D9488A">
        <w:rPr>
          <w:rStyle w:val="FootnoteReference"/>
          <w:rFonts w:ascii="Verdana" w:hAnsi="Verdana"/>
          <w:color w:val="1A171C"/>
          <w:sz w:val="20"/>
          <w:szCs w:val="20"/>
          <w:lang w:val="hr-HR"/>
        </w:rPr>
        <w:footnoteReference w:id="4"/>
      </w:r>
      <w:hyperlink r:id="rId11" w:anchor="ntr4-L_2013296HR.01001201-E0004" w:history="1"/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 ne dovodeći u pitanje </w:t>
      </w:r>
      <w:r w:rsidR="003206D0" w:rsidRPr="00D9488A">
        <w:rPr>
          <w:rFonts w:ascii="Verdana" w:hAnsi="Verdana"/>
          <w:color w:val="1A171C"/>
          <w:sz w:val="20"/>
          <w:szCs w:val="20"/>
          <w:lang w:val="hr-HR"/>
        </w:rPr>
        <w:t>principe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služben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ih mjera kontrole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utvrđen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ih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Uredbi (EZ) </w:t>
      </w:r>
      <w:r w:rsidR="004F1AEE" w:rsidRPr="00D9488A">
        <w:rPr>
          <w:rFonts w:ascii="Verdana" w:hAnsi="Verdana"/>
          <w:color w:val="1A171C"/>
          <w:sz w:val="20"/>
          <w:szCs w:val="20"/>
          <w:lang w:val="hr-HR"/>
        </w:rPr>
        <w:t xml:space="preserve">Evropskog parlamenta i Vijeća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br. 882/2004</w:t>
      </w:r>
      <w:r w:rsidR="00891410" w:rsidRPr="00D9488A">
        <w:rPr>
          <w:rStyle w:val="FootnoteReference"/>
          <w:rFonts w:ascii="Verdana" w:hAnsi="Verdana"/>
          <w:color w:val="1A171C"/>
          <w:sz w:val="20"/>
          <w:szCs w:val="20"/>
          <w:lang w:val="hr-HR"/>
        </w:rPr>
        <w:footnoteReference w:id="5"/>
      </w:r>
      <w:r w:rsidR="002A2DFA" w:rsidRPr="00D9488A">
        <w:rPr>
          <w:rFonts w:ascii="Verdana" w:hAnsi="Verdana"/>
          <w:color w:val="1A171C"/>
          <w:sz w:val="20"/>
          <w:szCs w:val="20"/>
          <w:lang w:val="hr-HR"/>
        </w:rPr>
        <w:t>.</w:t>
      </w:r>
    </w:p>
    <w:p w:rsidR="008F3737" w:rsidRPr="00D9488A" w:rsidRDefault="008F3737" w:rsidP="00D43259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Stanovništvo treba biti </w:t>
      </w:r>
      <w:r w:rsidR="00AD0C25" w:rsidRPr="00D9488A">
        <w:rPr>
          <w:rFonts w:ascii="Verdana" w:hAnsi="Verdana"/>
          <w:color w:val="1A171C"/>
          <w:sz w:val="20"/>
          <w:szCs w:val="20"/>
          <w:lang w:val="hr-HR"/>
        </w:rPr>
        <w:t xml:space="preserve">adekvatno i odgovarajuće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obaviješteno o kvalitet</w:t>
      </w:r>
      <w:r w:rsidR="0046336D" w:rsidRPr="00D9488A">
        <w:rPr>
          <w:rFonts w:ascii="Verdana" w:hAnsi="Verdana"/>
          <w:color w:val="1A171C"/>
          <w:sz w:val="20"/>
          <w:szCs w:val="20"/>
          <w:lang w:val="hr-HR"/>
        </w:rPr>
        <w:t>u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vode namijenjene za ljudsku potrošnju.</w:t>
      </w:r>
    </w:p>
    <w:p w:rsidR="00D43259" w:rsidRPr="00D9488A" w:rsidRDefault="00D43259" w:rsidP="00D43259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AD0C25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Potrebno je i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z </w:t>
      </w:r>
      <w:r w:rsidR="00D43259" w:rsidRPr="00D9488A">
        <w:rPr>
          <w:rFonts w:ascii="Verdana" w:hAnsi="Verdana"/>
          <w:color w:val="1A171C"/>
          <w:sz w:val="20"/>
          <w:szCs w:val="20"/>
          <w:lang w:val="hr-HR"/>
        </w:rPr>
        <w:t>djelokruga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ove </w:t>
      </w:r>
      <w:r w:rsidR="00D43259" w:rsidRPr="00D9488A">
        <w:rPr>
          <w:rFonts w:ascii="Verdana" w:hAnsi="Verdana"/>
          <w:color w:val="1A171C"/>
          <w:sz w:val="20"/>
          <w:szCs w:val="20"/>
          <w:lang w:val="hr-HR"/>
        </w:rPr>
        <w:t>d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irektive izuzeti prirodne mineral</w:t>
      </w:r>
      <w:r w:rsidR="0046336D" w:rsidRPr="00D9488A">
        <w:rPr>
          <w:rFonts w:ascii="Verdana" w:hAnsi="Verdana"/>
          <w:color w:val="1A171C"/>
          <w:sz w:val="20"/>
          <w:szCs w:val="20"/>
          <w:lang w:val="hr-HR"/>
        </w:rPr>
        <w:t>n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e vode i vode koje su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medicinski proizvodi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jer su za takve vrste voda utvrđena posebna pravila u Direktivi </w:t>
      </w:r>
      <w:r w:rsidR="004F1AEE" w:rsidRPr="00D9488A">
        <w:rPr>
          <w:rFonts w:ascii="Verdana" w:hAnsi="Verdana"/>
          <w:color w:val="1A171C"/>
          <w:sz w:val="20"/>
          <w:szCs w:val="20"/>
          <w:lang w:val="hr-HR"/>
        </w:rPr>
        <w:t xml:space="preserve">Evropskog parlamenta i Vijeća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2009/54/EZ</w:t>
      </w:r>
      <w:r w:rsidR="00891410" w:rsidRPr="00D9488A">
        <w:rPr>
          <w:rStyle w:val="FootnoteReference"/>
          <w:rFonts w:ascii="Verdana" w:hAnsi="Verdana"/>
          <w:color w:val="1A171C"/>
          <w:sz w:val="20"/>
          <w:szCs w:val="20"/>
          <w:lang w:val="hr-HR"/>
        </w:rPr>
        <w:footnoteReference w:id="6"/>
      </w:r>
      <w:hyperlink r:id="rId12" w:anchor="ntr6-L_2013296HR.01001201-E0006" w:history="1"/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 Direktivi </w:t>
      </w:r>
      <w:r w:rsidR="004F1AEE" w:rsidRPr="00D9488A">
        <w:rPr>
          <w:rFonts w:ascii="Verdana" w:hAnsi="Verdana"/>
          <w:color w:val="1A171C"/>
          <w:sz w:val="20"/>
          <w:szCs w:val="20"/>
          <w:lang w:val="hr-HR"/>
        </w:rPr>
        <w:t xml:space="preserve">Evropskog parlamenta i Vijeća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2001/83/EZ</w:t>
      </w:r>
      <w:r w:rsidR="002A2DFA" w:rsidRPr="00D9488A">
        <w:rPr>
          <w:rStyle w:val="FootnoteReference"/>
          <w:rFonts w:ascii="Verdana" w:hAnsi="Verdana"/>
          <w:color w:val="1A171C"/>
          <w:sz w:val="20"/>
          <w:szCs w:val="20"/>
          <w:lang w:val="hr-HR"/>
        </w:rPr>
        <w:footnoteReference w:id="7"/>
      </w:r>
      <w:r w:rsidR="002A2DFA" w:rsidRPr="00D9488A">
        <w:rPr>
          <w:rFonts w:ascii="Verdana" w:hAnsi="Verdana"/>
          <w:color w:val="1A171C"/>
          <w:sz w:val="20"/>
          <w:szCs w:val="20"/>
          <w:lang w:val="hr-HR"/>
        </w:rPr>
        <w:t>.</w:t>
      </w:r>
      <w:hyperlink r:id="rId13" w:anchor="ntr7-L_2013296HR.01001201-E0007" w:history="1">
        <w:r w:rsidR="008F3737" w:rsidRPr="00D9488A">
          <w:rPr>
            <w:rFonts w:ascii="Verdana" w:hAnsi="Verdana"/>
            <w:color w:val="1A171C"/>
            <w:sz w:val="20"/>
            <w:szCs w:val="20"/>
            <w:lang w:val="hr-HR"/>
          </w:rPr>
          <w:t> </w:t>
        </w:r>
      </w:hyperlink>
    </w:p>
    <w:p w:rsidR="00006EA5" w:rsidRPr="00D9488A" w:rsidRDefault="00006EA5" w:rsidP="00D43259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Svaka država članica treba uspostaviti programe </w:t>
      </w:r>
      <w:r w:rsidR="0046336D" w:rsidRPr="00D9488A">
        <w:rPr>
          <w:rFonts w:ascii="Verdana" w:hAnsi="Verdana"/>
          <w:color w:val="1A171C"/>
          <w:sz w:val="20"/>
          <w:szCs w:val="20"/>
          <w:lang w:val="hr-HR"/>
        </w:rPr>
        <w:t>monitoringa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3B43A3"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cilju provjere da li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voda namijenjena za ljudsku potrošnju </w:t>
      </w:r>
      <w:r w:rsidR="003B43A3" w:rsidRPr="00D9488A">
        <w:rPr>
          <w:rFonts w:ascii="Verdana" w:hAnsi="Verdana"/>
          <w:color w:val="1A171C"/>
          <w:sz w:val="20"/>
          <w:szCs w:val="20"/>
          <w:lang w:val="hr-HR"/>
        </w:rPr>
        <w:t xml:space="preserve">ispunjava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zahtjeve ove direktive.</w:t>
      </w:r>
    </w:p>
    <w:p w:rsidR="00006EA5" w:rsidRPr="00D9488A" w:rsidRDefault="00006EA5" w:rsidP="00D43259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Metodi ko</w:t>
      </w:r>
      <w:r w:rsidR="003B43A3" w:rsidRPr="00D9488A">
        <w:rPr>
          <w:rFonts w:ascii="Verdana" w:hAnsi="Verdana"/>
          <w:color w:val="1A171C"/>
          <w:sz w:val="20"/>
          <w:szCs w:val="20"/>
          <w:lang w:val="hr-HR"/>
        </w:rPr>
        <w:t xml:space="preserve">rišteni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za analizu kvalitet</w:t>
      </w:r>
      <w:r w:rsidR="0046336D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vode namijenjene za ljudsku potrošnju treba</w:t>
      </w:r>
      <w:r w:rsidR="003B43A3" w:rsidRPr="00D9488A">
        <w:rPr>
          <w:rFonts w:ascii="Verdana" w:hAnsi="Verdana"/>
          <w:color w:val="1A171C"/>
          <w:sz w:val="20"/>
          <w:szCs w:val="20"/>
          <w:lang w:val="hr-HR"/>
        </w:rPr>
        <w:t>ju biti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takv</w:t>
      </w:r>
      <w:r w:rsidR="003B43A3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da osigura</w:t>
      </w:r>
      <w:r w:rsidR="003B43A3" w:rsidRPr="00D9488A">
        <w:rPr>
          <w:rFonts w:ascii="Verdana" w:hAnsi="Verdana"/>
          <w:color w:val="1A171C"/>
          <w:sz w:val="20"/>
          <w:szCs w:val="20"/>
          <w:lang w:val="hr-HR"/>
        </w:rPr>
        <w:t>ju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pouzdanost </w:t>
      </w:r>
      <w:r w:rsidR="003B43A3" w:rsidRPr="00D9488A">
        <w:rPr>
          <w:rFonts w:ascii="Verdana" w:hAnsi="Verdana"/>
          <w:color w:val="1A171C"/>
          <w:sz w:val="20"/>
          <w:szCs w:val="20"/>
          <w:lang w:val="hr-HR"/>
        </w:rPr>
        <w:t xml:space="preserve">i uporedivost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dobi</w:t>
      </w:r>
      <w:r w:rsidR="0046336D" w:rsidRPr="00D9488A">
        <w:rPr>
          <w:rFonts w:ascii="Verdana" w:hAnsi="Verdana"/>
          <w:color w:val="1A171C"/>
          <w:sz w:val="20"/>
          <w:szCs w:val="20"/>
          <w:lang w:val="hr-HR"/>
        </w:rPr>
        <w:t>j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enih rezultata.</w:t>
      </w:r>
    </w:p>
    <w:p w:rsidR="008F3737" w:rsidRPr="00D9488A" w:rsidRDefault="008F3737" w:rsidP="00D43259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Uzimajući u obzir veliku geografsku varijabilnost prirodnog pojavljivanja radona, </w:t>
      </w:r>
      <w:r w:rsidR="003B43A3" w:rsidRPr="00D9488A">
        <w:rPr>
          <w:rFonts w:ascii="Verdana" w:hAnsi="Verdana"/>
          <w:color w:val="1A171C"/>
          <w:sz w:val="20"/>
          <w:szCs w:val="20"/>
          <w:lang w:val="hr-HR"/>
        </w:rPr>
        <w:t>K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omisija je </w:t>
      </w:r>
      <w:r w:rsidR="00D4325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donijela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Preporuku 2001/928/Euratom</w:t>
      </w:r>
      <w:r w:rsidR="002A2DFA" w:rsidRPr="00D9488A">
        <w:rPr>
          <w:rStyle w:val="FootnoteReference"/>
          <w:rFonts w:ascii="Verdana" w:hAnsi="Verdana"/>
          <w:color w:val="1A171C"/>
          <w:sz w:val="20"/>
          <w:szCs w:val="20"/>
          <w:lang w:val="hr-HR"/>
        </w:rPr>
        <w:footnoteReference w:id="8"/>
      </w:r>
      <w:hyperlink r:id="rId14" w:anchor="ntr8-L_2013296HR.01001201-E0008" w:history="1">
        <w:r w:rsidRPr="00D9488A">
          <w:rPr>
            <w:rFonts w:ascii="Verdana" w:hAnsi="Verdana"/>
            <w:color w:val="1A171C"/>
            <w:sz w:val="20"/>
            <w:szCs w:val="20"/>
            <w:lang w:val="hr-HR"/>
          </w:rPr>
          <w:t> </w:t>
        </w:r>
      </w:hyperlink>
      <w:r w:rsidR="00393D22" w:rsidRPr="00D9488A">
        <w:rPr>
          <w:rFonts w:ascii="Verdana" w:hAnsi="Verdana"/>
          <w:color w:val="1A171C"/>
          <w:sz w:val="20"/>
          <w:szCs w:val="20"/>
          <w:lang w:val="hr-HR"/>
        </w:rPr>
        <w:t>o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kvalitet</w:t>
      </w:r>
      <w:r w:rsidR="00393D22" w:rsidRPr="00D9488A">
        <w:rPr>
          <w:rFonts w:ascii="Verdana" w:hAnsi="Verdana"/>
          <w:color w:val="1A171C"/>
          <w:sz w:val="20"/>
          <w:szCs w:val="20"/>
          <w:lang w:val="hr-HR"/>
        </w:rPr>
        <w:t>u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vode namijenjene za ljudsku potrošnju u pogledu radona i dugoživ</w:t>
      </w:r>
      <w:r w:rsidR="0046336D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ćih proizvoda raspada radona. Pri</w:t>
      </w:r>
      <w:r w:rsidR="003B43A3" w:rsidRPr="00D9488A">
        <w:rPr>
          <w:rFonts w:ascii="Verdana" w:hAnsi="Verdana"/>
          <w:color w:val="1A171C"/>
          <w:sz w:val="20"/>
          <w:szCs w:val="20"/>
          <w:lang w:val="hr-HR"/>
        </w:rPr>
        <w:t>mjereno je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uključi</w:t>
      </w:r>
      <w:r w:rsidR="003B43A3" w:rsidRPr="00D9488A">
        <w:rPr>
          <w:rFonts w:ascii="Verdana" w:hAnsi="Verdana"/>
          <w:color w:val="1A171C"/>
          <w:sz w:val="20"/>
          <w:szCs w:val="20"/>
          <w:lang w:val="hr-HR"/>
        </w:rPr>
        <w:t>vanje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3B43A3" w:rsidRPr="00D9488A">
        <w:rPr>
          <w:rFonts w:ascii="Verdana" w:hAnsi="Verdana"/>
          <w:color w:val="1A171C"/>
          <w:sz w:val="20"/>
          <w:szCs w:val="20"/>
          <w:lang w:val="hr-HR"/>
        </w:rPr>
        <w:t>tih radionuklida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</w:t>
      </w:r>
      <w:r w:rsidR="00BA173E" w:rsidRPr="00D9488A">
        <w:rPr>
          <w:rFonts w:ascii="Verdana" w:hAnsi="Verdana"/>
          <w:color w:val="1A171C"/>
          <w:sz w:val="20"/>
          <w:szCs w:val="20"/>
          <w:lang w:val="hr-HR"/>
        </w:rPr>
        <w:t>djelokrug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ove direktive.</w:t>
      </w:r>
    </w:p>
    <w:p w:rsidR="008F3737" w:rsidRPr="00D9488A" w:rsidRDefault="003B43A3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lastRenderedPageBreak/>
        <w:t>U cilju održavanja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visok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og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kvalitet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vode namijenjene za ljudsku potrošnju s obzirom na njen</w:t>
      </w:r>
      <w:r w:rsidR="00393D22" w:rsidRPr="00D9488A">
        <w:rPr>
          <w:rFonts w:ascii="Verdana" w:hAnsi="Verdana"/>
          <w:color w:val="1A171C"/>
          <w:sz w:val="20"/>
          <w:szCs w:val="20"/>
          <w:lang w:val="hr-HR"/>
        </w:rPr>
        <w:t>u važnost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 ljudsko zdravlje, potrebno je redov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n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o ažurirati </w:t>
      </w:r>
      <w:r w:rsidR="002B3C72">
        <w:rPr>
          <w:rFonts w:ascii="Verdana" w:hAnsi="Verdana"/>
          <w:color w:val="1A171C"/>
          <w:sz w:val="20"/>
          <w:szCs w:val="20"/>
          <w:lang w:val="hr-HR"/>
        </w:rPr>
        <w:t>a</w:t>
      </w:r>
      <w:r w:rsidR="00274C45" w:rsidRPr="00D9488A">
        <w:rPr>
          <w:rFonts w:ascii="Verdana" w:hAnsi="Verdana"/>
          <w:color w:val="1A171C"/>
          <w:sz w:val="20"/>
          <w:szCs w:val="20"/>
          <w:lang w:val="hr-HR"/>
        </w:rPr>
        <w:t>neks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e II i III</w:t>
      </w:r>
      <w:r w:rsidR="00393D22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svjetlu naučnog i tehničkog napretka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.</w:t>
      </w:r>
    </w:p>
    <w:p w:rsidR="008F3737" w:rsidRPr="00D9488A" w:rsidRDefault="008F3737" w:rsidP="00D43259">
      <w:pPr>
        <w:pStyle w:val="BodyText"/>
        <w:ind w:left="567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C534C0" w:rsidP="00D43259">
      <w:pPr>
        <w:pStyle w:val="BodyText"/>
        <w:numPr>
          <w:ilvl w:val="0"/>
          <w:numId w:val="1"/>
        </w:numPr>
        <w:ind w:left="567" w:hanging="567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Iako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5F5CDC" w:rsidRPr="00D9488A">
        <w:rPr>
          <w:rFonts w:ascii="Verdana" w:hAnsi="Verdana"/>
          <w:color w:val="1A171C"/>
          <w:sz w:val="20"/>
          <w:szCs w:val="20"/>
          <w:lang w:val="hr-HR"/>
        </w:rPr>
        <w:t xml:space="preserve">je na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držav</w:t>
      </w:r>
      <w:r w:rsidR="005F5CDC" w:rsidRPr="00D9488A">
        <w:rPr>
          <w:rFonts w:ascii="Verdana" w:hAnsi="Verdana"/>
          <w:color w:val="1A171C"/>
          <w:sz w:val="20"/>
          <w:szCs w:val="20"/>
          <w:lang w:val="hr-HR"/>
        </w:rPr>
        <w:t>ama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članic</w:t>
      </w:r>
      <w:r w:rsidR="005F5CDC" w:rsidRPr="00D9488A">
        <w:rPr>
          <w:rFonts w:ascii="Verdana" w:hAnsi="Verdana"/>
          <w:color w:val="1A171C"/>
          <w:sz w:val="20"/>
          <w:szCs w:val="20"/>
          <w:lang w:val="hr-HR"/>
        </w:rPr>
        <w:t>ama da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odre</w:t>
      </w:r>
      <w:r w:rsidR="005F5CDC" w:rsidRPr="00D9488A">
        <w:rPr>
          <w:rFonts w:ascii="Verdana" w:hAnsi="Verdana"/>
          <w:color w:val="1A171C"/>
          <w:sz w:val="20"/>
          <w:szCs w:val="20"/>
          <w:lang w:val="hr-HR"/>
        </w:rPr>
        <w:t>de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učestalost uzorkovanja i analize vod</w:t>
      </w:r>
      <w:r w:rsidR="005F5CDC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namijenjen</w:t>
      </w:r>
      <w:r w:rsidR="005F5CDC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 ljudsku potrošnju </w:t>
      </w:r>
      <w:r w:rsidR="001E767C" w:rsidRPr="00D9488A">
        <w:rPr>
          <w:rFonts w:ascii="Verdana" w:hAnsi="Verdana"/>
          <w:color w:val="1A171C"/>
          <w:sz w:val="20"/>
          <w:szCs w:val="20"/>
          <w:lang w:val="hr-HR"/>
        </w:rPr>
        <w:t>koja se flašira ili stavlja u ambalažu radi prodaje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, preporuč</w:t>
      </w:r>
      <w:r w:rsidR="0015234E" w:rsidRPr="00D9488A">
        <w:rPr>
          <w:rFonts w:ascii="Verdana" w:hAnsi="Verdana"/>
          <w:color w:val="1A171C"/>
          <w:sz w:val="20"/>
          <w:szCs w:val="20"/>
          <w:lang w:val="hr-HR"/>
        </w:rPr>
        <w:t>uje se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15234E" w:rsidRPr="00D9488A">
        <w:rPr>
          <w:rFonts w:ascii="Verdana" w:hAnsi="Verdana"/>
          <w:color w:val="1A171C"/>
          <w:sz w:val="20"/>
          <w:szCs w:val="20"/>
          <w:lang w:val="hr-HR"/>
        </w:rPr>
        <w:t>obavljanje uzorkovanja i analize najmanje jednom godišnje z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a </w:t>
      </w:r>
      <w:r w:rsidR="00D726FB" w:rsidRPr="00D9488A">
        <w:rPr>
          <w:rFonts w:ascii="Verdana" w:hAnsi="Verdana"/>
          <w:color w:val="1A171C"/>
          <w:sz w:val="20"/>
          <w:szCs w:val="20"/>
          <w:lang w:val="hr-HR"/>
        </w:rPr>
        <w:t xml:space="preserve">one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države članice od kojih se </w:t>
      </w:r>
      <w:r w:rsidR="006F451C" w:rsidRPr="00D9488A">
        <w:rPr>
          <w:rFonts w:ascii="Verdana" w:hAnsi="Verdana"/>
          <w:color w:val="1A171C"/>
          <w:sz w:val="20"/>
          <w:szCs w:val="20"/>
          <w:lang w:val="hr-HR"/>
        </w:rPr>
        <w:t>zahtijeva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5449D4" w:rsidRPr="00D9488A">
        <w:rPr>
          <w:rFonts w:ascii="Verdana" w:hAnsi="Verdana"/>
          <w:color w:val="1A171C"/>
          <w:sz w:val="20"/>
          <w:szCs w:val="20"/>
          <w:lang w:val="hr-HR"/>
        </w:rPr>
        <w:t xml:space="preserve">da </w:t>
      </w:r>
      <w:r w:rsidR="00D726FB" w:rsidRPr="00D9488A">
        <w:rPr>
          <w:rFonts w:ascii="Verdana" w:hAnsi="Verdana"/>
          <w:color w:val="1A171C"/>
          <w:sz w:val="20"/>
          <w:szCs w:val="20"/>
          <w:lang w:val="hr-HR"/>
        </w:rPr>
        <w:t>obavlja</w:t>
      </w:r>
      <w:r w:rsidR="005449D4" w:rsidRPr="00D9488A">
        <w:rPr>
          <w:rFonts w:ascii="Verdana" w:hAnsi="Verdana"/>
          <w:color w:val="1A171C"/>
          <w:sz w:val="20"/>
          <w:szCs w:val="20"/>
          <w:lang w:val="hr-HR"/>
        </w:rPr>
        <w:t>ju</w:t>
      </w:r>
      <w:r w:rsidR="00D726FB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monitoring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vode namijenjene za ljudsku potrošnju </w:t>
      </w:r>
      <w:r w:rsidR="00D726FB" w:rsidRPr="00D9488A">
        <w:rPr>
          <w:rFonts w:ascii="Verdana" w:hAnsi="Verdana"/>
          <w:color w:val="1A171C"/>
          <w:sz w:val="20"/>
          <w:szCs w:val="20"/>
          <w:lang w:val="hr-HR"/>
        </w:rPr>
        <w:t>na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radon ili tricij ili </w:t>
      </w:r>
      <w:r w:rsidR="00D726FB" w:rsidRPr="00D9488A">
        <w:rPr>
          <w:rFonts w:ascii="Verdana" w:hAnsi="Verdana"/>
          <w:color w:val="1A171C"/>
          <w:sz w:val="20"/>
          <w:szCs w:val="20"/>
          <w:lang w:val="hr-HR"/>
        </w:rPr>
        <w:t>utvr</w:t>
      </w:r>
      <w:r w:rsidR="005449D4" w:rsidRPr="00D9488A">
        <w:rPr>
          <w:rFonts w:ascii="Verdana" w:hAnsi="Verdana"/>
          <w:color w:val="1A171C"/>
          <w:sz w:val="20"/>
          <w:szCs w:val="20"/>
          <w:lang w:val="hr-HR"/>
        </w:rPr>
        <w:t>d</w:t>
      </w:r>
      <w:r w:rsidR="00D726FB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indikativn</w:t>
      </w:r>
      <w:r w:rsidR="005449D4" w:rsidRPr="00D9488A">
        <w:rPr>
          <w:rFonts w:ascii="Verdana" w:hAnsi="Verdana"/>
          <w:color w:val="1A171C"/>
          <w:sz w:val="20"/>
          <w:szCs w:val="20"/>
          <w:lang w:val="hr-HR"/>
        </w:rPr>
        <w:t>u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doz</w:t>
      </w:r>
      <w:r w:rsidR="005449D4" w:rsidRPr="00D9488A">
        <w:rPr>
          <w:rFonts w:ascii="Verdana" w:hAnsi="Verdana"/>
          <w:color w:val="1A171C"/>
          <w:sz w:val="20"/>
          <w:szCs w:val="20"/>
          <w:lang w:val="hr-HR"/>
        </w:rPr>
        <w:t>u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(ID)</w:t>
      </w:r>
      <w:r w:rsidR="005F5CDC" w:rsidRPr="00D9488A">
        <w:rPr>
          <w:rFonts w:ascii="Verdana" w:hAnsi="Verdana"/>
          <w:color w:val="1A171C"/>
          <w:sz w:val="20"/>
          <w:szCs w:val="20"/>
          <w:lang w:val="hr-HR"/>
        </w:rPr>
        <w:t>.</w:t>
      </w:r>
    </w:p>
    <w:p w:rsidR="008F3737" w:rsidRPr="00D9488A" w:rsidRDefault="008F3737" w:rsidP="008F3737">
      <w:pPr>
        <w:tabs>
          <w:tab w:val="left" w:pos="436"/>
        </w:tabs>
        <w:rPr>
          <w:rFonts w:eastAsia="Times New Roman" w:cs="Times New Roman"/>
          <w:szCs w:val="20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26178F" w:rsidRPr="00D9488A" w:rsidTr="00DD7D76">
        <w:trPr>
          <w:tblCellSpacing w:w="0" w:type="dxa"/>
        </w:trPr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342881" w:rsidRPr="00D9488A" w:rsidRDefault="00342881" w:rsidP="00342881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26178F" w:rsidRPr="00D9488A" w:rsidTr="00DD7D76">
        <w:trPr>
          <w:tblCellSpacing w:w="0" w:type="dxa"/>
        </w:trPr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342881" w:rsidRPr="00D9488A" w:rsidRDefault="00342881" w:rsidP="00342881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26178F" w:rsidRPr="00D9488A" w:rsidTr="00DD7D76">
        <w:trPr>
          <w:tblCellSpacing w:w="0" w:type="dxa"/>
        </w:trPr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342881" w:rsidRPr="00D9488A" w:rsidRDefault="00342881" w:rsidP="00342881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26178F" w:rsidRPr="00D9488A" w:rsidTr="00DD7D76">
        <w:trPr>
          <w:tblCellSpacing w:w="0" w:type="dxa"/>
        </w:trPr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342881" w:rsidRPr="00D9488A" w:rsidRDefault="00342881" w:rsidP="00342881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26178F" w:rsidRPr="00D9488A" w:rsidTr="00DD7D76">
        <w:trPr>
          <w:tblCellSpacing w:w="0" w:type="dxa"/>
        </w:trPr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342881" w:rsidRPr="00D9488A" w:rsidRDefault="00342881" w:rsidP="00342881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5C5D69" w:rsidRPr="00D9488A" w:rsidTr="00DD7D76">
        <w:trPr>
          <w:tblCellSpacing w:w="0" w:type="dxa"/>
        </w:trPr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342881" w:rsidRPr="00D9488A" w:rsidRDefault="00342881" w:rsidP="00342881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5C5D69" w:rsidRPr="00D9488A" w:rsidTr="00DD7D76">
        <w:trPr>
          <w:tblCellSpacing w:w="0" w:type="dxa"/>
        </w:trPr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342881" w:rsidRPr="00D9488A" w:rsidRDefault="00342881" w:rsidP="00342881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342881" w:rsidRPr="00D9488A" w:rsidRDefault="00342881" w:rsidP="00342881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342881" w:rsidRPr="00D9488A" w:rsidRDefault="00342881" w:rsidP="00342881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393D22" w:rsidRPr="00D9488A" w:rsidTr="00DD7D76">
        <w:trPr>
          <w:tblCellSpacing w:w="0" w:type="dxa"/>
        </w:trPr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342881" w:rsidRPr="00D9488A" w:rsidRDefault="00342881" w:rsidP="00342881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342881" w:rsidRPr="00D9488A" w:rsidRDefault="00342881" w:rsidP="00342881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342881" w:rsidRPr="00D9488A" w:rsidTr="00DD7D76">
        <w:trPr>
          <w:tblCellSpacing w:w="0" w:type="dxa"/>
        </w:trPr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342881" w:rsidRPr="00D9488A" w:rsidRDefault="00342881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342881" w:rsidRPr="00D9488A" w:rsidRDefault="00342881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DONIJELO JE OVU ODLUKU:</w:t>
      </w:r>
    </w:p>
    <w:p w:rsidR="008F3737" w:rsidRPr="00D9488A" w:rsidRDefault="008F3737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Član 1.</w:t>
      </w:r>
    </w:p>
    <w:p w:rsidR="00006EA5" w:rsidRPr="00D9488A" w:rsidRDefault="00006EA5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Predmet</w:t>
      </w:r>
    </w:p>
    <w:p w:rsidR="008F3737" w:rsidRPr="00D9488A" w:rsidRDefault="008F3737" w:rsidP="008F3737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Ovom </w:t>
      </w:r>
      <w:r w:rsidR="008A42A4" w:rsidRPr="00D9488A">
        <w:rPr>
          <w:rFonts w:eastAsia="Times New Roman" w:cs="Times New Roman"/>
          <w:szCs w:val="20"/>
          <w:lang w:val="hr-HR" w:eastAsia="en-GB"/>
        </w:rPr>
        <w:t>d</w:t>
      </w:r>
      <w:r w:rsidRPr="00D9488A">
        <w:rPr>
          <w:rFonts w:eastAsia="Times New Roman" w:cs="Times New Roman"/>
          <w:szCs w:val="20"/>
          <w:lang w:val="hr-HR" w:eastAsia="en-GB"/>
        </w:rPr>
        <w:t xml:space="preserve">irektivom </w:t>
      </w:r>
      <w:r w:rsidR="008A42A4" w:rsidRPr="00D9488A">
        <w:rPr>
          <w:rFonts w:eastAsia="Times New Roman" w:cs="Times New Roman"/>
          <w:szCs w:val="20"/>
          <w:lang w:val="hr-HR" w:eastAsia="en-GB"/>
        </w:rPr>
        <w:t xml:space="preserve">se </w:t>
      </w:r>
      <w:r w:rsidRPr="00D9488A">
        <w:rPr>
          <w:rFonts w:eastAsia="Times New Roman" w:cs="Times New Roman"/>
          <w:szCs w:val="20"/>
          <w:lang w:val="hr-HR" w:eastAsia="en-GB"/>
        </w:rPr>
        <w:t xml:space="preserve">utvrđuju zahtjevi za zaštitu zdravlja stanovništva </w:t>
      </w:r>
      <w:r w:rsidR="002E2C69" w:rsidRPr="00D9488A">
        <w:rPr>
          <w:rFonts w:eastAsia="Times New Roman" w:cs="Times New Roman"/>
          <w:szCs w:val="20"/>
          <w:lang w:val="hr-HR" w:eastAsia="en-GB"/>
        </w:rPr>
        <w:t>u pogledu</w:t>
      </w:r>
      <w:r w:rsidRPr="00D9488A">
        <w:rPr>
          <w:rFonts w:eastAsia="Times New Roman" w:cs="Times New Roman"/>
          <w:szCs w:val="20"/>
          <w:lang w:val="hr-HR" w:eastAsia="en-GB"/>
        </w:rPr>
        <w:t xml:space="preserve"> radioaktivnih </w:t>
      </w:r>
      <w:r w:rsidR="008F3737" w:rsidRPr="00D9488A">
        <w:rPr>
          <w:rFonts w:eastAsia="Times New Roman" w:cs="Times New Roman"/>
          <w:szCs w:val="20"/>
          <w:lang w:val="hr-HR" w:eastAsia="en-GB"/>
        </w:rPr>
        <w:t>supstanci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 vodi namijenjenoj za ljudsku potrošnju. Njome se utvrđuju vrijednosti parametara te učestalost i metod</w:t>
      </w:r>
      <w:r w:rsidR="002E2C69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2E2C69" w:rsidRPr="00D9488A">
        <w:rPr>
          <w:rFonts w:eastAsia="Times New Roman" w:cs="Times New Roman"/>
          <w:szCs w:val="20"/>
          <w:lang w:val="hr-HR" w:eastAsia="en-GB"/>
        </w:rPr>
        <w:t>monitoring</w:t>
      </w:r>
      <w:r w:rsidR="00424EFD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radioaktivnih </w:t>
      </w:r>
      <w:r w:rsidR="008F3737" w:rsidRPr="00D9488A">
        <w:rPr>
          <w:rFonts w:eastAsia="Times New Roman" w:cs="Times New Roman"/>
          <w:szCs w:val="20"/>
          <w:lang w:val="hr-HR" w:eastAsia="en-GB"/>
        </w:rPr>
        <w:t>supstanci</w:t>
      </w:r>
      <w:r w:rsidRPr="00D9488A">
        <w:rPr>
          <w:rFonts w:eastAsia="Times New Roman" w:cs="Times New Roman"/>
          <w:szCs w:val="20"/>
          <w:lang w:val="hr-HR" w:eastAsia="en-GB"/>
        </w:rPr>
        <w:t>.</w:t>
      </w:r>
    </w:p>
    <w:p w:rsidR="008F3737" w:rsidRPr="00D9488A" w:rsidRDefault="008F3737" w:rsidP="008F3737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Član 2.</w:t>
      </w:r>
    </w:p>
    <w:p w:rsidR="00006EA5" w:rsidRPr="00D9488A" w:rsidRDefault="00006EA5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Definicije</w:t>
      </w:r>
    </w:p>
    <w:p w:rsidR="008F3737" w:rsidRPr="00D9488A" w:rsidRDefault="008F3737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424EFD" w:rsidP="008F3737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U svrhe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ove </w:t>
      </w:r>
      <w:r w:rsidR="008F3737" w:rsidRPr="00D9488A">
        <w:rPr>
          <w:rFonts w:eastAsia="Times New Roman" w:cs="Times New Roman"/>
          <w:szCs w:val="20"/>
          <w:lang w:val="hr-HR" w:eastAsia="en-GB"/>
        </w:rPr>
        <w:t>d</w:t>
      </w:r>
      <w:r w:rsidR="00006EA5" w:rsidRPr="00D9488A">
        <w:rPr>
          <w:rFonts w:eastAsia="Times New Roman" w:cs="Times New Roman"/>
          <w:szCs w:val="20"/>
          <w:lang w:val="hr-HR" w:eastAsia="en-GB"/>
        </w:rPr>
        <w:t>irektive se</w:t>
      </w:r>
      <w:r w:rsidR="008F3737" w:rsidRPr="00D9488A">
        <w:rPr>
          <w:rFonts w:eastAsia="Times New Roman" w:cs="Times New Roman"/>
          <w:szCs w:val="20"/>
          <w:lang w:val="hr-HR" w:eastAsia="en-GB"/>
        </w:rPr>
        <w:t xml:space="preserve"> primjenjuju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sljedeće definicije: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8F3737" w:rsidRPr="00D9488A" w:rsidRDefault="008F3737" w:rsidP="001C68B0">
      <w:pPr>
        <w:pStyle w:val="BodyText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„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>V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oda namijenjena za ljudsku potrošnju” znači: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8F3737" w:rsidRPr="00D9488A" w:rsidRDefault="008F3737" w:rsidP="002E2C69">
      <w:pPr>
        <w:pStyle w:val="BodyText"/>
        <w:numPr>
          <w:ilvl w:val="0"/>
          <w:numId w:val="5"/>
        </w:numPr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sva voda, bilo u nje</w:t>
      </w:r>
      <w:r w:rsidR="002E2C69" w:rsidRPr="00D9488A">
        <w:rPr>
          <w:rFonts w:ascii="Verdana" w:hAnsi="Verdana"/>
          <w:color w:val="1A171C"/>
          <w:sz w:val="20"/>
          <w:szCs w:val="20"/>
          <w:lang w:val="hr-HR"/>
        </w:rPr>
        <w:t>nom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izvornom stanju ili nakon </w:t>
      </w:r>
      <w:r w:rsidR="002E2C69" w:rsidRPr="00D9488A">
        <w:rPr>
          <w:rFonts w:ascii="Verdana" w:hAnsi="Verdana"/>
          <w:color w:val="1A171C"/>
          <w:sz w:val="20"/>
          <w:szCs w:val="20"/>
          <w:lang w:val="hr-HR"/>
        </w:rPr>
        <w:t>pre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rade, koja je namijenjena </w:t>
      </w:r>
      <w:r w:rsidR="00CA731F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za piće, kuhanje, pripremu hrane ili druge potrebe </w:t>
      </w:r>
      <w:r w:rsidR="008E0C98" w:rsidRPr="00D9488A">
        <w:rPr>
          <w:rFonts w:ascii="Verdana" w:hAnsi="Verdana"/>
          <w:color w:val="1A171C"/>
          <w:sz w:val="20"/>
          <w:szCs w:val="20"/>
          <w:lang w:val="hr-HR"/>
        </w:rPr>
        <w:t>domaćinstva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, </w:t>
      </w:r>
      <w:r w:rsidR="002E2C6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bez obzira na </w:t>
      </w:r>
      <w:r w:rsidR="002E2C69" w:rsidRPr="00D9488A">
        <w:rPr>
          <w:rFonts w:ascii="Verdana" w:hAnsi="Verdana"/>
          <w:color w:val="1A171C"/>
          <w:sz w:val="20"/>
          <w:szCs w:val="20"/>
          <w:lang w:val="hr-HR"/>
        </w:rPr>
        <w:tab/>
        <w:t>njeno</w:t>
      </w:r>
      <w:r w:rsidR="008E0C98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porije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>k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l</w:t>
      </w:r>
      <w:r w:rsidR="002E2C69" w:rsidRPr="00D9488A">
        <w:rPr>
          <w:rFonts w:ascii="Verdana" w:hAnsi="Verdana"/>
          <w:color w:val="1A171C"/>
          <w:sz w:val="20"/>
          <w:szCs w:val="20"/>
          <w:lang w:val="hr-HR"/>
        </w:rPr>
        <w:t>o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te </w:t>
      </w:r>
      <w:r w:rsidR="00897F4F" w:rsidRPr="00D9488A">
        <w:rPr>
          <w:rFonts w:ascii="Verdana" w:hAnsi="Verdana"/>
          <w:color w:val="1A171C"/>
          <w:sz w:val="20"/>
          <w:szCs w:val="20"/>
          <w:lang w:val="hr-HR"/>
        </w:rPr>
        <w:t xml:space="preserve">da li se </w:t>
      </w:r>
      <w:r w:rsidR="002B3C72">
        <w:rPr>
          <w:rFonts w:ascii="Verdana" w:hAnsi="Verdana"/>
          <w:color w:val="1A171C"/>
          <w:sz w:val="20"/>
          <w:szCs w:val="20"/>
          <w:lang w:val="hr-HR"/>
        </w:rPr>
        <w:t xml:space="preserve">isporučuje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iz distribuci</w:t>
      </w:r>
      <w:r w:rsidR="00897F4F" w:rsidRPr="00D9488A">
        <w:rPr>
          <w:rFonts w:ascii="Verdana" w:hAnsi="Verdana"/>
          <w:color w:val="1A171C"/>
          <w:sz w:val="20"/>
          <w:szCs w:val="20"/>
          <w:lang w:val="hr-HR"/>
        </w:rPr>
        <w:t>one</w:t>
      </w:r>
      <w:r w:rsidR="002E2C69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mreže, cisterne ili </w:t>
      </w:r>
      <w:r w:rsidR="00897F4F" w:rsidRPr="00D9488A">
        <w:rPr>
          <w:rFonts w:ascii="Verdana" w:hAnsi="Verdana"/>
          <w:color w:val="1A171C"/>
          <w:sz w:val="20"/>
          <w:szCs w:val="20"/>
          <w:lang w:val="hr-HR"/>
        </w:rPr>
        <w:t>iz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1E767C" w:rsidRPr="00D9488A">
        <w:rPr>
          <w:rFonts w:ascii="Verdana" w:hAnsi="Verdana"/>
          <w:color w:val="1A171C"/>
          <w:sz w:val="20"/>
          <w:szCs w:val="20"/>
          <w:lang w:val="hr-HR"/>
        </w:rPr>
        <w:t>flaša</w:t>
      </w:r>
      <w:r w:rsidR="00424EFD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2E2C69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="001E767C" w:rsidRPr="00D9488A">
        <w:rPr>
          <w:rFonts w:ascii="Verdana" w:hAnsi="Verdana"/>
          <w:color w:val="1A171C"/>
          <w:sz w:val="20"/>
          <w:szCs w:val="20"/>
          <w:lang w:val="hr-HR"/>
        </w:rPr>
        <w:t>ambalaže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;</w:t>
      </w:r>
    </w:p>
    <w:p w:rsidR="0075089C" w:rsidRPr="00D9488A" w:rsidRDefault="0075089C" w:rsidP="0075089C">
      <w:pPr>
        <w:pStyle w:val="BodyText"/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75089C" w:rsidRPr="00D9488A" w:rsidRDefault="0075089C" w:rsidP="002E2C69">
      <w:pPr>
        <w:pStyle w:val="BodyText"/>
        <w:numPr>
          <w:ilvl w:val="0"/>
          <w:numId w:val="5"/>
        </w:numPr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sva voda koja se koristi u bilo kom preduzeću za proizvodnju hrane u svrhu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ab/>
        <w:t xml:space="preserve">proizvodnje, prerade, očuvanja ili stavljanja na tržište proizvoda ili supstanci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ab/>
        <w:t xml:space="preserve">namijenjenih za ljudsku potrošnju osim ako su nadležni državni organi uvjereni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ab/>
        <w:t xml:space="preserve">da kvalitet vode ne može uticati na ispravnost </w:t>
      </w:r>
      <w:r w:rsidR="00424EFD" w:rsidRPr="00D9488A">
        <w:rPr>
          <w:rFonts w:ascii="Verdana" w:hAnsi="Verdana"/>
          <w:color w:val="1A171C"/>
          <w:sz w:val="20"/>
          <w:szCs w:val="20"/>
          <w:lang w:val="hr-HR"/>
        </w:rPr>
        <w:t>prehrambenih artikala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</w:t>
      </w:r>
      <w:r w:rsidR="00424EFD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nj</w:t>
      </w:r>
      <w:r w:rsidR="00424EFD" w:rsidRPr="00D9488A">
        <w:rPr>
          <w:rFonts w:ascii="Verdana" w:hAnsi="Verdana"/>
          <w:color w:val="1A171C"/>
          <w:sz w:val="20"/>
          <w:szCs w:val="20"/>
          <w:lang w:val="hr-HR"/>
        </w:rPr>
        <w:t xml:space="preserve">ihovom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konačnom obliku.</w:t>
      </w:r>
    </w:p>
    <w:p w:rsidR="008F3737" w:rsidRPr="00D9488A" w:rsidRDefault="008F3737" w:rsidP="001C68B0">
      <w:pPr>
        <w:pStyle w:val="BodyText"/>
        <w:tabs>
          <w:tab w:val="left" w:pos="426"/>
        </w:tabs>
        <w:ind w:left="362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1C68B0">
      <w:pPr>
        <w:pStyle w:val="BodyText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„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>R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adioaktivna </w:t>
      </w:r>
      <w:r w:rsidR="004B15F1" w:rsidRPr="00D9488A">
        <w:rPr>
          <w:rFonts w:ascii="Verdana" w:hAnsi="Verdana"/>
          <w:color w:val="1A171C"/>
          <w:sz w:val="20"/>
          <w:szCs w:val="20"/>
          <w:lang w:val="hr-HR"/>
        </w:rPr>
        <w:t>supstanca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” znači svaka </w:t>
      </w:r>
      <w:r w:rsidR="004B15F1" w:rsidRPr="00D9488A">
        <w:rPr>
          <w:rFonts w:ascii="Verdana" w:hAnsi="Verdana"/>
          <w:color w:val="1A171C"/>
          <w:sz w:val="20"/>
          <w:szCs w:val="20"/>
          <w:lang w:val="hr-HR"/>
        </w:rPr>
        <w:t>supstanca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koja sadrži jedan ili više radionuklida čija se aktivnost ili koncentracija</w:t>
      </w:r>
      <w:r w:rsidR="00424EFD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aktivnosti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ne može zanemariti sa 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 xml:space="preserve">aspekta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zaštite od zračenja;</w:t>
      </w:r>
    </w:p>
    <w:p w:rsidR="00006EA5" w:rsidRPr="00D9488A" w:rsidRDefault="00006EA5" w:rsidP="001C68B0">
      <w:pPr>
        <w:pStyle w:val="BodyText"/>
        <w:tabs>
          <w:tab w:val="left" w:pos="0"/>
        </w:tabs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1C68B0">
      <w:pPr>
        <w:pStyle w:val="BodyText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„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ndikativna doza” ili „ID” znači 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>očekivana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efektivna doza za jednu godinu 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>ingestije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koja pro</w:t>
      </w:r>
      <w:r w:rsidR="00B9246A" w:rsidRPr="00D9488A">
        <w:rPr>
          <w:rFonts w:ascii="Verdana" w:hAnsi="Verdana"/>
          <w:color w:val="1A171C"/>
          <w:sz w:val="20"/>
          <w:szCs w:val="20"/>
          <w:lang w:val="hr-HR"/>
        </w:rPr>
        <w:t xml:space="preserve">izlazi iz svih radionuklida 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 xml:space="preserve">prirodnog i vještačkog porijekla </w:t>
      </w:r>
      <w:r w:rsidR="00B9246A" w:rsidRPr="00D9488A">
        <w:rPr>
          <w:rFonts w:ascii="Verdana" w:hAnsi="Verdana"/>
          <w:color w:val="1A171C"/>
          <w:sz w:val="20"/>
          <w:szCs w:val="20"/>
          <w:lang w:val="hr-HR"/>
        </w:rPr>
        <w:t>čije je prisustvo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otkriven</w:t>
      </w:r>
      <w:r w:rsidR="00B9246A" w:rsidRPr="00D9488A">
        <w:rPr>
          <w:rFonts w:ascii="Verdana" w:hAnsi="Verdana"/>
          <w:color w:val="1A171C"/>
          <w:sz w:val="20"/>
          <w:szCs w:val="20"/>
          <w:lang w:val="hr-HR"/>
        </w:rPr>
        <w:t>o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>nekoj količini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vode namijenjene za </w:t>
      </w:r>
      <w:r w:rsidR="00B9246A" w:rsidRPr="00D9488A">
        <w:rPr>
          <w:rFonts w:ascii="Verdana" w:hAnsi="Verdana"/>
          <w:color w:val="1A171C"/>
          <w:sz w:val="20"/>
          <w:szCs w:val="20"/>
          <w:lang w:val="hr-HR"/>
        </w:rPr>
        <w:t xml:space="preserve">ljudsku potrošnju,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ali s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iz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>uzetkom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tricija, kalija-40, radona i kratkoživ</w:t>
      </w:r>
      <w:r w:rsidR="006D02F9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ćih proizvoda raspada radona;</w:t>
      </w:r>
    </w:p>
    <w:p w:rsidR="00006EA5" w:rsidRPr="00D9488A" w:rsidRDefault="00006EA5" w:rsidP="001C68B0">
      <w:pPr>
        <w:pStyle w:val="BodyText"/>
        <w:tabs>
          <w:tab w:val="left" w:pos="0"/>
        </w:tabs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1C68B0">
      <w:pPr>
        <w:pStyle w:val="BodyText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„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>V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rijednost parametra” znači vrijednost radioaktivnih 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>supstanci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vodi namijenjenoj za ljudsku potrošnju iznad koje države članice procjenjuju 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 xml:space="preserve">da li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prisu</w:t>
      </w:r>
      <w:r w:rsidR="008D21DD" w:rsidRPr="00D9488A">
        <w:rPr>
          <w:rFonts w:ascii="Verdana" w:hAnsi="Verdana"/>
          <w:color w:val="1A171C"/>
          <w:sz w:val="20"/>
          <w:szCs w:val="20"/>
          <w:lang w:val="hr-HR"/>
        </w:rPr>
        <w:t>stvo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radioaktivnih </w:t>
      </w:r>
      <w:r w:rsidR="008D21DD" w:rsidRPr="00D9488A">
        <w:rPr>
          <w:rFonts w:ascii="Verdana" w:hAnsi="Verdana"/>
          <w:color w:val="1A171C"/>
          <w:sz w:val="20"/>
          <w:szCs w:val="20"/>
          <w:lang w:val="hr-HR"/>
        </w:rPr>
        <w:t>supstanci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vodi namijenjenoj za ljudsku potrošnju 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 xml:space="preserve">predstavlja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rizik za ljudsko zdravlje koji zahtijeva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mjere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i, kada je to potrebno, p</w:t>
      </w:r>
      <w:r w:rsidR="00117F4B">
        <w:rPr>
          <w:rFonts w:ascii="Verdana" w:hAnsi="Verdana"/>
          <w:color w:val="1A171C"/>
          <w:sz w:val="20"/>
          <w:szCs w:val="20"/>
          <w:lang w:val="hr-HR"/>
        </w:rPr>
        <w:t>re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duzimaju mjere </w:t>
      </w:r>
      <w:r w:rsidR="00424EFD" w:rsidRPr="00D9488A">
        <w:rPr>
          <w:rFonts w:ascii="Verdana" w:hAnsi="Verdana"/>
          <w:color w:val="1A171C"/>
          <w:sz w:val="20"/>
          <w:szCs w:val="20"/>
          <w:lang w:val="hr-HR"/>
        </w:rPr>
        <w:t xml:space="preserve">sanacije </w:t>
      </w:r>
      <w:r w:rsidR="0075089C"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cilju unapređenja kvaliteta vode do nivoa </w:t>
      </w:r>
      <w:r w:rsidR="006D02F9" w:rsidRPr="00D9488A">
        <w:rPr>
          <w:rFonts w:ascii="Verdana" w:hAnsi="Verdana"/>
          <w:color w:val="1A171C"/>
          <w:sz w:val="20"/>
          <w:szCs w:val="20"/>
          <w:lang w:val="hr-HR"/>
        </w:rPr>
        <w:t>koji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je u skladu sa zahtjevima za zaštitu ljudskog zdravlja sa </w:t>
      </w:r>
      <w:r w:rsidR="00F07CB0" w:rsidRPr="00D9488A">
        <w:rPr>
          <w:rFonts w:ascii="Verdana" w:hAnsi="Verdana"/>
          <w:color w:val="1A171C"/>
          <w:sz w:val="20"/>
          <w:szCs w:val="20"/>
          <w:lang w:val="hr-HR"/>
        </w:rPr>
        <w:t>aspekta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zaštite od zračenja.</w:t>
      </w:r>
    </w:p>
    <w:p w:rsidR="00F07CB0" w:rsidRPr="00D9488A" w:rsidRDefault="00F07CB0" w:rsidP="008F3737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186E50" w:rsidRPr="00D9488A" w:rsidRDefault="00186E50" w:rsidP="008F3737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186E50" w:rsidRPr="00D9488A" w:rsidRDefault="00186E50" w:rsidP="008F3737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lastRenderedPageBreak/>
        <w:t>Član 3.</w:t>
      </w:r>
    </w:p>
    <w:p w:rsidR="00006EA5" w:rsidRPr="00D9488A" w:rsidRDefault="002A64A6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Djelokrug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 xml:space="preserve"> i izuzeća</w:t>
      </w:r>
    </w:p>
    <w:p w:rsidR="008F3737" w:rsidRPr="00D9488A" w:rsidRDefault="008F3737" w:rsidP="008F3737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E24D72">
      <w:pPr>
        <w:pStyle w:val="BodyText"/>
        <w:numPr>
          <w:ilvl w:val="0"/>
          <w:numId w:val="4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Ova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direktiva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se primjenjuje na vodu namijenjenu za ljudsku potrošnju.</w:t>
      </w:r>
    </w:p>
    <w:p w:rsidR="008F3737" w:rsidRPr="00D9488A" w:rsidRDefault="008F3737" w:rsidP="001C68B0">
      <w:pPr>
        <w:pStyle w:val="BodyText"/>
        <w:tabs>
          <w:tab w:val="left" w:pos="0"/>
        </w:tabs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006EA5" w:rsidRPr="00D9488A" w:rsidRDefault="00006EA5" w:rsidP="001C68B0">
      <w:pPr>
        <w:pStyle w:val="BodyTex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Ova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d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irektiva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se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ne primjenjuje na: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8F3737" w:rsidRPr="00D9488A" w:rsidRDefault="008F3737" w:rsidP="00B9246A">
      <w:pPr>
        <w:pStyle w:val="BodyText"/>
        <w:numPr>
          <w:ilvl w:val="0"/>
          <w:numId w:val="7"/>
        </w:numPr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prirodne mineralne vode koje su kao takve priznal</w:t>
      </w:r>
      <w:r w:rsidR="002A64A6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nadležn</w:t>
      </w:r>
      <w:r w:rsidR="00B631A1" w:rsidRPr="00D9488A">
        <w:rPr>
          <w:rFonts w:ascii="Verdana" w:hAnsi="Verdana"/>
          <w:color w:val="1A171C"/>
          <w:sz w:val="20"/>
          <w:szCs w:val="20"/>
          <w:lang w:val="hr-HR"/>
        </w:rPr>
        <w:t>i državni organi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</w:t>
      </w:r>
      <w:r w:rsidR="00B631A1" w:rsidRPr="00D9488A">
        <w:rPr>
          <w:rFonts w:ascii="Verdana" w:hAnsi="Verdana"/>
          <w:color w:val="1A171C"/>
          <w:sz w:val="20"/>
          <w:szCs w:val="20"/>
          <w:lang w:val="hr-HR"/>
        </w:rPr>
        <w:tab/>
        <w:t>skladu s D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irektivom 2009/54/EZ;</w:t>
      </w:r>
    </w:p>
    <w:p w:rsidR="00006EA5" w:rsidRPr="00D9488A" w:rsidRDefault="00006EA5" w:rsidP="001C68B0">
      <w:pPr>
        <w:pStyle w:val="BodyText"/>
        <w:tabs>
          <w:tab w:val="left" w:pos="426"/>
        </w:tabs>
        <w:ind w:left="362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1C68B0">
      <w:pPr>
        <w:pStyle w:val="BodyText"/>
        <w:numPr>
          <w:ilvl w:val="0"/>
          <w:numId w:val="7"/>
        </w:numPr>
        <w:tabs>
          <w:tab w:val="left" w:pos="426"/>
        </w:tabs>
        <w:ind w:hanging="78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vode koje su </w:t>
      </w:r>
      <w:r w:rsidR="002A64A6" w:rsidRPr="00D9488A">
        <w:rPr>
          <w:rFonts w:ascii="Verdana" w:hAnsi="Verdana"/>
          <w:color w:val="1A171C"/>
          <w:sz w:val="20"/>
          <w:szCs w:val="20"/>
          <w:lang w:val="hr-HR"/>
        </w:rPr>
        <w:t>medicinski proizvodi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smislu Direktive 2001/83/EZ;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E24D72">
      <w:pPr>
        <w:pStyle w:val="BodyText"/>
        <w:numPr>
          <w:ilvl w:val="0"/>
          <w:numId w:val="4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Države članice mogu </w:t>
      </w:r>
      <w:r w:rsidR="008A42A4" w:rsidRPr="00D9488A">
        <w:rPr>
          <w:rFonts w:ascii="Verdana" w:hAnsi="Verdana"/>
          <w:color w:val="1A171C"/>
          <w:sz w:val="20"/>
          <w:szCs w:val="20"/>
          <w:lang w:val="hr-HR"/>
        </w:rPr>
        <w:t>izuzeti</w:t>
      </w:r>
      <w:r w:rsidR="002A64A6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od ove direktive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: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8F3737" w:rsidRPr="00D9488A" w:rsidRDefault="008F3737" w:rsidP="00B9246A">
      <w:pPr>
        <w:pStyle w:val="BodyText"/>
        <w:numPr>
          <w:ilvl w:val="0"/>
          <w:numId w:val="8"/>
        </w:numPr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vodu namijenjenu isključivo za one svrhe za koje su nadležn</w:t>
      </w:r>
      <w:r w:rsidR="00A80924" w:rsidRPr="00D9488A">
        <w:rPr>
          <w:rFonts w:ascii="Verdana" w:hAnsi="Verdana"/>
          <w:color w:val="1A171C"/>
          <w:sz w:val="20"/>
          <w:szCs w:val="20"/>
          <w:lang w:val="hr-HR"/>
        </w:rPr>
        <w:t>i organi uvjereni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A80924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da kvalitet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vode nema nikakvog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ut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caja, bilo 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>direktnog ili indirektnog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, na </w:t>
      </w:r>
      <w:r w:rsidR="00A80924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zdravlje </w:t>
      </w:r>
      <w:r w:rsidR="002A64A6" w:rsidRPr="00D9488A">
        <w:rPr>
          <w:rFonts w:ascii="Verdana" w:hAnsi="Verdana"/>
          <w:color w:val="1A171C"/>
          <w:sz w:val="20"/>
          <w:szCs w:val="20"/>
          <w:lang w:val="hr-HR"/>
        </w:rPr>
        <w:t>datog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stanovništva;</w:t>
      </w:r>
    </w:p>
    <w:p w:rsidR="001C68B0" w:rsidRPr="00D9488A" w:rsidRDefault="001C68B0" w:rsidP="00B631A1">
      <w:pPr>
        <w:pStyle w:val="BodyText"/>
        <w:tabs>
          <w:tab w:val="left" w:pos="426"/>
        </w:tabs>
        <w:ind w:left="362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1C68B0" w:rsidP="00B631A1">
      <w:pPr>
        <w:pStyle w:val="BodyText"/>
        <w:numPr>
          <w:ilvl w:val="0"/>
          <w:numId w:val="8"/>
        </w:numPr>
        <w:ind w:left="363" w:hanging="79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vodu namijenjenu za ljudsku potrošnju iz pojedinačn</w:t>
      </w:r>
      <w:r w:rsidR="00956FBA" w:rsidRPr="00D9488A">
        <w:rPr>
          <w:rFonts w:ascii="Verdana" w:hAnsi="Verdana"/>
          <w:color w:val="1A171C"/>
          <w:sz w:val="20"/>
          <w:szCs w:val="20"/>
          <w:lang w:val="hr-HR"/>
        </w:rPr>
        <w:t>og izvora snabdijevanja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956FBA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koj</w:t>
      </w:r>
      <w:r w:rsidR="00956FBA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m se</w:t>
      </w:r>
      <w:r w:rsidR="00B631A1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prosječno osigurava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manje od 10 m</w:t>
      </w:r>
      <w:r w:rsidR="008F3737" w:rsidRPr="00D9488A">
        <w:rPr>
          <w:rFonts w:ascii="Verdana" w:hAnsi="Verdana"/>
          <w:color w:val="1A171C"/>
          <w:sz w:val="20"/>
          <w:szCs w:val="20"/>
          <w:vertAlign w:val="superscript"/>
          <w:lang w:val="hr-HR"/>
        </w:rPr>
        <w:t>3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424EFD" w:rsidRPr="00D9488A">
        <w:rPr>
          <w:rFonts w:ascii="Verdana" w:hAnsi="Verdana"/>
          <w:color w:val="1A171C"/>
          <w:sz w:val="20"/>
          <w:szCs w:val="20"/>
          <w:lang w:val="hr-HR"/>
        </w:rPr>
        <w:t>dnevno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ili se </w:t>
      </w:r>
      <w:r w:rsidR="00956FBA" w:rsidRPr="00D9488A">
        <w:rPr>
          <w:rFonts w:ascii="Verdana" w:hAnsi="Verdana"/>
          <w:color w:val="1A171C"/>
          <w:sz w:val="20"/>
          <w:szCs w:val="20"/>
          <w:lang w:val="hr-HR"/>
        </w:rPr>
        <w:t>snabdijeva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manje </w:t>
      </w:r>
      <w:r w:rsidR="00956FBA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od 50</w:t>
      </w:r>
      <w:r w:rsidR="00956FBA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osoba osim ako je </w:t>
      </w:r>
      <w:r w:rsidR="00956FBA" w:rsidRPr="00D9488A">
        <w:rPr>
          <w:rFonts w:ascii="Verdana" w:hAnsi="Verdana"/>
          <w:color w:val="1A171C"/>
          <w:sz w:val="20"/>
          <w:szCs w:val="20"/>
          <w:lang w:val="hr-HR"/>
        </w:rPr>
        <w:t>snabdijevanje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vodom dio komercijalne ili javne </w:t>
      </w:r>
      <w:r w:rsidR="00956FBA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aktivnosti.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E24D72">
      <w:pPr>
        <w:pStyle w:val="BodyText"/>
        <w:numPr>
          <w:ilvl w:val="0"/>
          <w:numId w:val="4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Države članice koje </w:t>
      </w:r>
      <w:r w:rsidR="005C369B" w:rsidRPr="00D9488A">
        <w:rPr>
          <w:rFonts w:ascii="Verdana" w:hAnsi="Verdana"/>
          <w:color w:val="1A171C"/>
          <w:sz w:val="20"/>
          <w:szCs w:val="20"/>
          <w:lang w:val="hr-HR"/>
        </w:rPr>
        <w:t>pribjegnu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izuzeć</w:t>
      </w:r>
      <w:r w:rsidR="005C369B" w:rsidRPr="00D9488A">
        <w:rPr>
          <w:rFonts w:ascii="Verdana" w:hAnsi="Verdana"/>
          <w:color w:val="1A171C"/>
          <w:sz w:val="20"/>
          <w:szCs w:val="20"/>
          <w:lang w:val="hr-HR"/>
        </w:rPr>
        <w:t>im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a iz stava 3. t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čk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(b) osiguravaju:</w:t>
      </w:r>
    </w:p>
    <w:p w:rsidR="001C68B0" w:rsidRPr="00D9488A" w:rsidRDefault="001C68B0" w:rsidP="001C68B0">
      <w:pPr>
        <w:pStyle w:val="BodyText"/>
        <w:tabs>
          <w:tab w:val="left" w:pos="0"/>
        </w:tabs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B9246A">
      <w:pPr>
        <w:pStyle w:val="BodyText"/>
        <w:numPr>
          <w:ilvl w:val="0"/>
          <w:numId w:val="9"/>
        </w:numPr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da </w:t>
      </w:r>
      <w:r w:rsidR="005C369B" w:rsidRPr="00D9488A">
        <w:rPr>
          <w:rFonts w:ascii="Verdana" w:hAnsi="Verdana"/>
          <w:color w:val="1A171C"/>
          <w:sz w:val="20"/>
          <w:szCs w:val="20"/>
          <w:lang w:val="hr-HR"/>
        </w:rPr>
        <w:t>dato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stanovništvo bude obaviješteno</w:t>
      </w:r>
      <w:r w:rsidR="005C369B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 tome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5C369B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 bilo kojoj mjeri koja </w:t>
      </w:r>
      <w:r w:rsidR="00A65155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se može p</w:t>
      </w:r>
      <w:r w:rsidR="00A65155" w:rsidRPr="00D9488A">
        <w:rPr>
          <w:rFonts w:ascii="Verdana" w:hAnsi="Verdana"/>
          <w:color w:val="1A171C"/>
          <w:sz w:val="20"/>
          <w:szCs w:val="20"/>
          <w:lang w:val="hr-HR"/>
        </w:rPr>
        <w:t>re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duzeti </w:t>
      </w:r>
      <w:r w:rsidR="005C369B" w:rsidRPr="00D9488A">
        <w:rPr>
          <w:rFonts w:ascii="Verdana" w:hAnsi="Verdana"/>
          <w:color w:val="1A171C"/>
          <w:sz w:val="20"/>
          <w:szCs w:val="20"/>
          <w:lang w:val="hr-HR"/>
        </w:rPr>
        <w:t>u cilju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zaštite ljudskog zdravlja od negativnih </w:t>
      </w:r>
      <w:r w:rsidR="005C369B" w:rsidRPr="00D9488A">
        <w:rPr>
          <w:rFonts w:ascii="Verdana" w:hAnsi="Verdana"/>
          <w:color w:val="1A171C"/>
          <w:sz w:val="20"/>
          <w:szCs w:val="20"/>
          <w:lang w:val="hr-HR"/>
        </w:rPr>
        <w:t>efekata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koji su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="005C369B" w:rsidRPr="00D9488A">
        <w:rPr>
          <w:rFonts w:ascii="Verdana" w:hAnsi="Verdana"/>
          <w:color w:val="1A171C"/>
          <w:sz w:val="20"/>
          <w:szCs w:val="20"/>
          <w:lang w:val="hr-HR"/>
        </w:rPr>
        <w:t>rezultat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bilo kakv</w:t>
      </w:r>
      <w:r w:rsidR="005C369B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B9246A" w:rsidRPr="00D9488A">
        <w:rPr>
          <w:rFonts w:ascii="Verdana" w:hAnsi="Verdana"/>
          <w:color w:val="1A171C"/>
          <w:sz w:val="20"/>
          <w:szCs w:val="20"/>
          <w:lang w:val="hr-HR"/>
        </w:rPr>
        <w:t>kontaminacije</w:t>
      </w:r>
      <w:r w:rsidR="001C68B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vode namijenjene za ljudsku potrošnju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;</w:t>
      </w:r>
    </w:p>
    <w:p w:rsidR="005C369B" w:rsidRPr="00D9488A" w:rsidRDefault="005C369B" w:rsidP="005C369B">
      <w:pPr>
        <w:pStyle w:val="BodyText"/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5C369B" w:rsidRPr="00D9488A" w:rsidRDefault="005C369B" w:rsidP="00B9246A">
      <w:pPr>
        <w:pStyle w:val="BodyText"/>
        <w:numPr>
          <w:ilvl w:val="0"/>
          <w:numId w:val="9"/>
        </w:numPr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da se, kada potencijalna opasnost za ljudsko zdravlje koja proizlazi iz kvaliteta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ab/>
        <w:t xml:space="preserve">takve vode postane očigledna, datom stanovništvu odmah daju odgovarajući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ab/>
        <w:t>savjeti.</w:t>
      </w:r>
    </w:p>
    <w:p w:rsidR="00A65155" w:rsidRPr="00D9488A" w:rsidRDefault="00A65155" w:rsidP="00A65155">
      <w:pPr>
        <w:pStyle w:val="BodyText"/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006EA5" w:rsidRPr="00D9488A" w:rsidRDefault="00006EA5" w:rsidP="008F3737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Član 4.</w:t>
      </w:r>
    </w:p>
    <w:p w:rsidR="00006EA5" w:rsidRPr="00D9488A" w:rsidRDefault="00006EA5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Op</w:t>
      </w:r>
      <w:r w:rsidR="008F3737" w:rsidRPr="00D9488A">
        <w:rPr>
          <w:rFonts w:eastAsia="Times New Roman" w:cs="Times New Roman"/>
          <w:b/>
          <w:szCs w:val="20"/>
          <w:lang w:val="hr-HR" w:eastAsia="en-GB"/>
        </w:rPr>
        <w:t>šte</w:t>
      </w:r>
      <w:r w:rsidRPr="00D9488A">
        <w:rPr>
          <w:rFonts w:eastAsia="Times New Roman" w:cs="Times New Roman"/>
          <w:b/>
          <w:szCs w:val="20"/>
          <w:lang w:val="hr-HR" w:eastAsia="en-GB"/>
        </w:rPr>
        <w:t xml:space="preserve"> ob</w:t>
      </w:r>
      <w:r w:rsidR="008F3737" w:rsidRPr="00D9488A">
        <w:rPr>
          <w:rFonts w:eastAsia="Times New Roman" w:cs="Times New Roman"/>
          <w:b/>
          <w:szCs w:val="20"/>
          <w:lang w:val="hr-HR" w:eastAsia="en-GB"/>
        </w:rPr>
        <w:t>a</w:t>
      </w:r>
      <w:r w:rsidRPr="00D9488A">
        <w:rPr>
          <w:rFonts w:eastAsia="Times New Roman" w:cs="Times New Roman"/>
          <w:b/>
          <w:szCs w:val="20"/>
          <w:lang w:val="hr-HR" w:eastAsia="en-GB"/>
        </w:rPr>
        <w:t>veze</w:t>
      </w:r>
    </w:p>
    <w:p w:rsidR="008F3737" w:rsidRPr="00D9488A" w:rsidRDefault="008F3737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Ne dovodeći u pitanje odredbe utvrđene u članu 6 stav 3. t</w:t>
      </w:r>
      <w:r w:rsidR="008F3737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>čk</w:t>
      </w:r>
      <w:r w:rsidR="008F3737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(a) Direktive 96/29/Euratom</w:t>
      </w:r>
      <w:r w:rsidR="008A42A4" w:rsidRPr="00D9488A">
        <w:rPr>
          <w:rStyle w:val="FootnoteReference"/>
          <w:rFonts w:eastAsia="Times New Roman" w:cs="Times New Roman"/>
          <w:szCs w:val="20"/>
          <w:lang w:val="hr-HR" w:eastAsia="en-GB"/>
        </w:rPr>
        <w:footnoteReference w:id="9"/>
      </w:r>
      <w:hyperlink r:id="rId15" w:anchor="ntr9-L_2013296HR.01001201-E0009" w:history="1"/>
      <w:r w:rsidRPr="00D9488A">
        <w:rPr>
          <w:rFonts w:eastAsia="Times New Roman" w:cs="Times New Roman"/>
          <w:szCs w:val="20"/>
          <w:lang w:val="hr-HR" w:eastAsia="en-GB"/>
        </w:rPr>
        <w:t>, države članice p</w:t>
      </w:r>
      <w:r w:rsidR="00CA019F" w:rsidRPr="00D9488A">
        <w:rPr>
          <w:rFonts w:eastAsia="Times New Roman" w:cs="Times New Roman"/>
          <w:szCs w:val="20"/>
          <w:lang w:val="hr-HR" w:eastAsia="en-GB"/>
        </w:rPr>
        <w:t>re</w:t>
      </w:r>
      <w:r w:rsidRPr="00D9488A">
        <w:rPr>
          <w:rFonts w:eastAsia="Times New Roman" w:cs="Times New Roman"/>
          <w:szCs w:val="20"/>
          <w:lang w:val="hr-HR" w:eastAsia="en-GB"/>
        </w:rPr>
        <w:t xml:space="preserve">duzimaju sve potrebne mjere da bi uspostavile odgovarajući program </w:t>
      </w:r>
      <w:r w:rsidR="00CA019F" w:rsidRPr="00D9488A">
        <w:rPr>
          <w:rFonts w:eastAsia="Times New Roman" w:cs="Times New Roman"/>
          <w:szCs w:val="20"/>
          <w:lang w:val="hr-HR" w:eastAsia="en-GB"/>
        </w:rPr>
        <w:t>monitoringa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vode namijenjene za ljudsku potrošnju </w:t>
      </w:r>
      <w:r w:rsidR="00CA019F" w:rsidRPr="00D9488A">
        <w:rPr>
          <w:rFonts w:eastAsia="Times New Roman" w:cs="Times New Roman"/>
          <w:szCs w:val="20"/>
          <w:lang w:val="hr-HR" w:eastAsia="en-GB"/>
        </w:rPr>
        <w:t>u cilju osiguranja da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5F5AC1" w:rsidRPr="00D9488A">
        <w:rPr>
          <w:rFonts w:eastAsia="Times New Roman" w:cs="Times New Roman"/>
          <w:szCs w:val="20"/>
          <w:lang w:val="hr-HR" w:eastAsia="en-GB"/>
        </w:rPr>
        <w:t xml:space="preserve">se </w:t>
      </w:r>
      <w:r w:rsidRPr="00D9488A">
        <w:rPr>
          <w:rFonts w:eastAsia="Times New Roman" w:cs="Times New Roman"/>
          <w:szCs w:val="20"/>
          <w:lang w:val="hr-HR" w:eastAsia="en-GB"/>
        </w:rPr>
        <w:t xml:space="preserve">u slučaju </w:t>
      </w:r>
      <w:r w:rsidR="0032532C" w:rsidRPr="00D9488A">
        <w:rPr>
          <w:rFonts w:eastAsia="Times New Roman" w:cs="Times New Roman"/>
          <w:szCs w:val="20"/>
          <w:lang w:val="hr-HR" w:eastAsia="en-GB"/>
        </w:rPr>
        <w:t>neusklađenosti sa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vrijednosti</w:t>
      </w:r>
      <w:r w:rsidR="0032532C" w:rsidRPr="00D9488A">
        <w:rPr>
          <w:rFonts w:eastAsia="Times New Roman" w:cs="Times New Roman"/>
          <w:szCs w:val="20"/>
          <w:lang w:val="hr-HR" w:eastAsia="en-GB"/>
        </w:rPr>
        <w:t>ma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parametara utvrđeni</w:t>
      </w:r>
      <w:r w:rsidR="0032532C" w:rsidRPr="00D9488A">
        <w:rPr>
          <w:rFonts w:eastAsia="Times New Roman" w:cs="Times New Roman"/>
          <w:szCs w:val="20"/>
          <w:lang w:val="hr-HR" w:eastAsia="en-GB"/>
        </w:rPr>
        <w:t>m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 skladu s ovom </w:t>
      </w:r>
      <w:r w:rsidR="008F3737" w:rsidRPr="00D9488A">
        <w:rPr>
          <w:rFonts w:eastAsia="Times New Roman" w:cs="Times New Roman"/>
          <w:szCs w:val="20"/>
          <w:lang w:val="hr-HR" w:eastAsia="en-GB"/>
        </w:rPr>
        <w:t>d</w:t>
      </w:r>
      <w:r w:rsidRPr="00D9488A">
        <w:rPr>
          <w:rFonts w:eastAsia="Times New Roman" w:cs="Times New Roman"/>
          <w:szCs w:val="20"/>
          <w:lang w:val="hr-HR" w:eastAsia="en-GB"/>
        </w:rPr>
        <w:t>irektivom: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8F3737" w:rsidRPr="00D9488A" w:rsidRDefault="00A31400" w:rsidP="00D84AF7">
      <w:pPr>
        <w:pStyle w:val="BodyText"/>
        <w:numPr>
          <w:ilvl w:val="0"/>
          <w:numId w:val="10"/>
        </w:numPr>
        <w:ind w:hanging="78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pr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ocijen</w:t>
      </w:r>
      <w:r w:rsidR="005F5AC1" w:rsidRPr="00D9488A">
        <w:rPr>
          <w:rFonts w:ascii="Verdana" w:hAnsi="Verdana"/>
          <w:color w:val="1A171C"/>
          <w:sz w:val="20"/>
          <w:szCs w:val="20"/>
          <w:lang w:val="hr-HR"/>
        </w:rPr>
        <w:t>i da li to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predstavlja rizik za ljudsko zdravlje koji zahtijeva </w:t>
      </w:r>
      <w:r w:rsidR="005F5AC1" w:rsidRPr="00D9488A">
        <w:rPr>
          <w:rFonts w:ascii="Verdana" w:hAnsi="Verdana"/>
          <w:color w:val="1A171C"/>
          <w:sz w:val="20"/>
          <w:szCs w:val="20"/>
          <w:lang w:val="hr-HR"/>
        </w:rPr>
        <w:t>mjere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; i</w:t>
      </w:r>
    </w:p>
    <w:p w:rsidR="00006EA5" w:rsidRPr="00D9488A" w:rsidRDefault="00006EA5" w:rsidP="00D84AF7">
      <w:pPr>
        <w:pStyle w:val="BodyText"/>
        <w:ind w:left="362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E24D72">
      <w:pPr>
        <w:pStyle w:val="BodyText"/>
        <w:numPr>
          <w:ilvl w:val="0"/>
          <w:numId w:val="10"/>
        </w:numPr>
        <w:ind w:left="426" w:hanging="142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preduz</w:t>
      </w:r>
      <w:r w:rsidR="005F5AC1" w:rsidRPr="00D9488A">
        <w:rPr>
          <w:rFonts w:ascii="Verdana" w:hAnsi="Verdana"/>
          <w:color w:val="1A171C"/>
          <w:sz w:val="20"/>
          <w:szCs w:val="20"/>
          <w:lang w:val="hr-HR"/>
        </w:rPr>
        <w:t>mu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, kada je to potrebno, mjere </w:t>
      </w:r>
      <w:r w:rsidR="00A3140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sanacije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radi </w:t>
      </w:r>
      <w:r w:rsidR="005F5AC1" w:rsidRPr="00D9488A">
        <w:rPr>
          <w:rFonts w:ascii="Verdana" w:hAnsi="Verdana"/>
          <w:color w:val="1A171C"/>
          <w:sz w:val="20"/>
          <w:szCs w:val="20"/>
          <w:lang w:val="hr-HR"/>
        </w:rPr>
        <w:t>unapređenja kvaliteta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B77A3D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vode do </w:t>
      </w:r>
      <w:r w:rsidR="00B77A3D" w:rsidRPr="00D9488A">
        <w:rPr>
          <w:rFonts w:ascii="Verdana" w:hAnsi="Verdana"/>
          <w:color w:val="1A171C"/>
          <w:sz w:val="20"/>
          <w:szCs w:val="20"/>
          <w:lang w:val="hr-HR"/>
        </w:rPr>
        <w:t>nivoa koji je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skladu sa zahtjevima za zaštitu ljudskog zdravlja sa </w:t>
      </w:r>
      <w:r w:rsidR="00B77A3D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="005F5AC1" w:rsidRPr="00D9488A">
        <w:rPr>
          <w:rFonts w:ascii="Verdana" w:hAnsi="Verdana"/>
          <w:color w:val="1A171C"/>
          <w:sz w:val="20"/>
          <w:szCs w:val="20"/>
          <w:lang w:val="hr-HR"/>
        </w:rPr>
        <w:t>aspekta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zaštite od zračenja.</w:t>
      </w:r>
    </w:p>
    <w:p w:rsidR="00186E50" w:rsidRPr="00D9488A" w:rsidRDefault="00186E50" w:rsidP="00186E50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424EFD" w:rsidRPr="00D9488A" w:rsidTr="00DD7D76">
        <w:trPr>
          <w:tblCellSpacing w:w="0" w:type="dxa"/>
        </w:trPr>
        <w:tc>
          <w:tcPr>
            <w:tcW w:w="0" w:type="auto"/>
            <w:hideMark/>
          </w:tcPr>
          <w:p w:rsidR="00186E50" w:rsidRPr="00D9488A" w:rsidRDefault="00186E50" w:rsidP="00424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186E50" w:rsidRPr="00D9488A" w:rsidRDefault="00186E50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186E50" w:rsidRPr="00D9488A" w:rsidRDefault="00186E50" w:rsidP="00186E50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424EFD" w:rsidRPr="00D9488A" w:rsidTr="00DD7D76">
        <w:trPr>
          <w:tblCellSpacing w:w="0" w:type="dxa"/>
        </w:trPr>
        <w:tc>
          <w:tcPr>
            <w:tcW w:w="0" w:type="auto"/>
            <w:hideMark/>
          </w:tcPr>
          <w:p w:rsidR="00186E50" w:rsidRPr="00D9488A" w:rsidRDefault="00186E50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186E50" w:rsidRPr="00D9488A" w:rsidRDefault="00186E50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186E50" w:rsidRPr="00D9488A" w:rsidRDefault="00186E50" w:rsidP="00186E50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424EFD" w:rsidRPr="00D9488A" w:rsidTr="00DD7D76">
        <w:trPr>
          <w:tblCellSpacing w:w="0" w:type="dxa"/>
        </w:trPr>
        <w:tc>
          <w:tcPr>
            <w:tcW w:w="0" w:type="auto"/>
            <w:hideMark/>
          </w:tcPr>
          <w:p w:rsidR="00186E50" w:rsidRPr="00D9488A" w:rsidRDefault="00186E50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186E50" w:rsidRPr="00D9488A" w:rsidRDefault="00186E50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424EFD" w:rsidRPr="00D9488A" w:rsidTr="00DD7D76">
        <w:trPr>
          <w:tblCellSpacing w:w="0" w:type="dxa"/>
        </w:trPr>
        <w:tc>
          <w:tcPr>
            <w:tcW w:w="0" w:type="auto"/>
            <w:hideMark/>
          </w:tcPr>
          <w:p w:rsidR="00186E50" w:rsidRPr="00D9488A" w:rsidRDefault="00186E50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186E50" w:rsidRPr="00D9488A" w:rsidRDefault="00186E50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186E50" w:rsidRPr="00D9488A" w:rsidRDefault="00186E50" w:rsidP="00186E50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424EFD" w:rsidRPr="00D9488A" w:rsidTr="00DD7D76">
        <w:trPr>
          <w:tblCellSpacing w:w="0" w:type="dxa"/>
        </w:trPr>
        <w:tc>
          <w:tcPr>
            <w:tcW w:w="0" w:type="auto"/>
            <w:hideMark/>
          </w:tcPr>
          <w:p w:rsidR="00186E50" w:rsidRPr="00D9488A" w:rsidRDefault="00186E50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186E50" w:rsidRPr="00D9488A" w:rsidRDefault="00186E50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186E50" w:rsidRPr="00D9488A" w:rsidRDefault="00186E50" w:rsidP="00186E50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424EFD" w:rsidRPr="00D9488A" w:rsidTr="00DD7D76">
        <w:trPr>
          <w:tblCellSpacing w:w="0" w:type="dxa"/>
        </w:trPr>
        <w:tc>
          <w:tcPr>
            <w:tcW w:w="0" w:type="auto"/>
            <w:hideMark/>
          </w:tcPr>
          <w:p w:rsidR="00186E50" w:rsidRPr="00D9488A" w:rsidRDefault="00186E50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186E50" w:rsidRPr="00D9488A" w:rsidRDefault="00186E50" w:rsidP="00DD7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186E50" w:rsidRPr="00D9488A" w:rsidRDefault="00186E50" w:rsidP="008F3737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8F3737" w:rsidP="008F3737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Član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5.</w:t>
      </w:r>
    </w:p>
    <w:p w:rsidR="00006EA5" w:rsidRPr="00D9488A" w:rsidRDefault="00006EA5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Vrijednosti parametara i t</w:t>
      </w:r>
      <w:r w:rsidR="008F3737" w:rsidRPr="00D9488A">
        <w:rPr>
          <w:rFonts w:eastAsia="Times New Roman" w:cs="Times New Roman"/>
          <w:b/>
          <w:szCs w:val="20"/>
          <w:lang w:val="hr-HR" w:eastAsia="en-GB"/>
        </w:rPr>
        <w:t>a</w:t>
      </w:r>
      <w:r w:rsidRPr="00D9488A">
        <w:rPr>
          <w:rFonts w:eastAsia="Times New Roman" w:cs="Times New Roman"/>
          <w:b/>
          <w:szCs w:val="20"/>
          <w:lang w:val="hr-HR" w:eastAsia="en-GB"/>
        </w:rPr>
        <w:t>čke usklađenosti</w:t>
      </w:r>
    </w:p>
    <w:p w:rsidR="008F3737" w:rsidRPr="00D9488A" w:rsidRDefault="008F3737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625075">
      <w:pPr>
        <w:pStyle w:val="BodyText"/>
        <w:numPr>
          <w:ilvl w:val="0"/>
          <w:numId w:val="14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Države članice određuju vrijednosti parametara </w:t>
      </w:r>
      <w:r w:rsidR="00D3541D" w:rsidRPr="00D9488A">
        <w:rPr>
          <w:rFonts w:ascii="Verdana" w:hAnsi="Verdana"/>
          <w:color w:val="1A171C"/>
          <w:sz w:val="20"/>
          <w:szCs w:val="20"/>
          <w:lang w:val="hr-HR"/>
        </w:rPr>
        <w:t xml:space="preserve">koje se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primjenj</w:t>
      </w:r>
      <w:r w:rsidR="00D3541D" w:rsidRPr="00D9488A">
        <w:rPr>
          <w:rFonts w:ascii="Verdana" w:hAnsi="Verdana"/>
          <w:color w:val="1A171C"/>
          <w:sz w:val="20"/>
          <w:szCs w:val="20"/>
          <w:lang w:val="hr-HR"/>
        </w:rPr>
        <w:t>uju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9D7030" w:rsidRPr="00D9488A">
        <w:rPr>
          <w:rFonts w:ascii="Verdana" w:hAnsi="Verdana"/>
          <w:color w:val="1A171C"/>
          <w:sz w:val="20"/>
          <w:szCs w:val="20"/>
          <w:lang w:val="hr-HR"/>
        </w:rPr>
        <w:t>n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a </w:t>
      </w:r>
      <w:r w:rsidR="00493A8E" w:rsidRPr="00D9488A">
        <w:rPr>
          <w:rFonts w:ascii="Verdana" w:hAnsi="Verdana"/>
          <w:color w:val="1A171C"/>
          <w:sz w:val="20"/>
          <w:szCs w:val="20"/>
          <w:lang w:val="hr-HR"/>
        </w:rPr>
        <w:t xml:space="preserve">monitoring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radioaktivnih</w:t>
      </w:r>
      <w:r w:rsidR="00493A8E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supstanci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vodi namijenjenoj za ljudsku potrošnju u skladu s </w:t>
      </w:r>
      <w:r w:rsidR="00274C45" w:rsidRPr="00D9488A">
        <w:rPr>
          <w:rFonts w:ascii="Verdana" w:hAnsi="Verdana"/>
          <w:color w:val="1A171C"/>
          <w:sz w:val="20"/>
          <w:szCs w:val="20"/>
          <w:lang w:val="hr-HR"/>
        </w:rPr>
        <w:lastRenderedPageBreak/>
        <w:t>Aneks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om I.</w:t>
      </w:r>
    </w:p>
    <w:p w:rsidR="00F07CB0" w:rsidRPr="00D9488A" w:rsidRDefault="00F07CB0" w:rsidP="00625075">
      <w:pPr>
        <w:pStyle w:val="BodyText"/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006EA5" w:rsidRPr="00D9488A" w:rsidRDefault="00006EA5" w:rsidP="00625075">
      <w:pPr>
        <w:pStyle w:val="BodyText"/>
        <w:numPr>
          <w:ilvl w:val="0"/>
          <w:numId w:val="14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Kada se </w:t>
      </w:r>
      <w:r w:rsidR="0032532C" w:rsidRPr="00D9488A">
        <w:rPr>
          <w:rFonts w:ascii="Verdana" w:hAnsi="Verdana"/>
          <w:color w:val="1A171C"/>
          <w:sz w:val="20"/>
          <w:szCs w:val="20"/>
          <w:lang w:val="hr-HR"/>
        </w:rPr>
        <w:t>monitoring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</w:t>
      </w:r>
      <w:r w:rsidR="009D7030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namijenjen</w:t>
      </w:r>
      <w:r w:rsidR="009D7030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 ljudsku potrošnju </w:t>
      </w:r>
      <w:r w:rsidR="009D7030" w:rsidRPr="00D9488A">
        <w:rPr>
          <w:rFonts w:ascii="Verdana" w:hAnsi="Verdana"/>
          <w:color w:val="1A171C"/>
          <w:sz w:val="20"/>
          <w:szCs w:val="20"/>
          <w:lang w:val="hr-HR"/>
        </w:rPr>
        <w:t>obavlja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skladu sa zahtjevima iz </w:t>
      </w:r>
      <w:r w:rsidR="00274C45" w:rsidRPr="00D9488A">
        <w:rPr>
          <w:rFonts w:ascii="Verdana" w:hAnsi="Verdana"/>
          <w:color w:val="1A171C"/>
          <w:sz w:val="20"/>
          <w:szCs w:val="20"/>
          <w:lang w:val="hr-HR"/>
        </w:rPr>
        <w:t>Aneks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a II ov</w:t>
      </w:r>
      <w:r w:rsidR="0032532C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F07CB0" w:rsidRPr="00D9488A">
        <w:rPr>
          <w:rFonts w:ascii="Verdana" w:hAnsi="Verdana"/>
          <w:color w:val="1A171C"/>
          <w:sz w:val="20"/>
          <w:szCs w:val="20"/>
          <w:lang w:val="hr-HR"/>
        </w:rPr>
        <w:t>d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irektiv</w:t>
      </w:r>
      <w:r w:rsidR="0032532C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, </w:t>
      </w:r>
      <w:r w:rsidR="00625075" w:rsidRPr="00D9488A">
        <w:rPr>
          <w:rFonts w:ascii="Verdana" w:hAnsi="Verdana"/>
          <w:color w:val="1A171C"/>
          <w:sz w:val="20"/>
          <w:szCs w:val="20"/>
          <w:lang w:val="hr-HR"/>
        </w:rPr>
        <w:t>t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čka usklađenosti je: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B3169D" w:rsidRPr="00D9488A" w:rsidRDefault="00B3169D" w:rsidP="00B9246A">
      <w:pPr>
        <w:pStyle w:val="BodyText"/>
        <w:numPr>
          <w:ilvl w:val="0"/>
          <w:numId w:val="13"/>
        </w:numPr>
        <w:tabs>
          <w:tab w:val="left" w:pos="709"/>
        </w:tabs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slučaju vode koja se </w:t>
      </w:r>
      <w:r w:rsidR="005451FF" w:rsidRPr="00D9488A">
        <w:rPr>
          <w:rFonts w:ascii="Verdana" w:hAnsi="Verdana"/>
          <w:color w:val="1A171C"/>
          <w:sz w:val="20"/>
          <w:szCs w:val="20"/>
          <w:lang w:val="hr-HR"/>
        </w:rPr>
        <w:t>isporučuje iz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distribucion</w:t>
      </w:r>
      <w:r w:rsidR="005451FF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mrež</w:t>
      </w:r>
      <w:r w:rsidR="005451FF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, tačka na kojoj ona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ab/>
        <w:t xml:space="preserve">izlazi iz slavina </w:t>
      </w:r>
      <w:r w:rsidR="005451FF" w:rsidRPr="00D9488A">
        <w:rPr>
          <w:rFonts w:ascii="Verdana" w:hAnsi="Verdana"/>
          <w:color w:val="1A171C"/>
          <w:sz w:val="20"/>
          <w:szCs w:val="20"/>
          <w:lang w:val="hr-HR"/>
        </w:rPr>
        <w:t>gdje se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voda uobičajeno uzima;</w:t>
      </w:r>
    </w:p>
    <w:p w:rsidR="00B9246A" w:rsidRPr="00D9488A" w:rsidRDefault="00B9246A" w:rsidP="00B9246A">
      <w:pPr>
        <w:pStyle w:val="BodyText"/>
        <w:tabs>
          <w:tab w:val="left" w:pos="709"/>
        </w:tabs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B9246A">
      <w:pPr>
        <w:pStyle w:val="BodyText"/>
        <w:numPr>
          <w:ilvl w:val="0"/>
          <w:numId w:val="13"/>
        </w:numPr>
        <w:tabs>
          <w:tab w:val="left" w:pos="709"/>
        </w:tabs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slučaju vode koja se </w:t>
      </w:r>
      <w:r w:rsidR="005451FF" w:rsidRPr="00D9488A">
        <w:rPr>
          <w:rFonts w:ascii="Verdana" w:hAnsi="Verdana"/>
          <w:color w:val="1A171C"/>
          <w:sz w:val="20"/>
          <w:szCs w:val="20"/>
          <w:lang w:val="hr-HR"/>
        </w:rPr>
        <w:t xml:space="preserve">isporučuje iz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cisterne, tačka na kojoj ona izlazi iz </w:t>
      </w:r>
      <w:r w:rsidR="0017046D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cisterne;</w:t>
      </w:r>
    </w:p>
    <w:p w:rsidR="00B9246A" w:rsidRPr="00D9488A" w:rsidRDefault="00B9246A" w:rsidP="00B9246A">
      <w:pPr>
        <w:pStyle w:val="BodyText"/>
        <w:tabs>
          <w:tab w:val="left" w:pos="709"/>
        </w:tabs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B9246A">
      <w:pPr>
        <w:pStyle w:val="BodyText"/>
        <w:numPr>
          <w:ilvl w:val="0"/>
          <w:numId w:val="13"/>
        </w:numPr>
        <w:tabs>
          <w:tab w:val="left" w:pos="709"/>
        </w:tabs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slučaju vode koja se </w:t>
      </w:r>
      <w:r w:rsidR="001E767C" w:rsidRPr="00D9488A">
        <w:rPr>
          <w:rFonts w:ascii="Verdana" w:hAnsi="Verdana"/>
          <w:color w:val="1A171C"/>
          <w:sz w:val="20"/>
          <w:szCs w:val="20"/>
          <w:lang w:val="hr-HR"/>
        </w:rPr>
        <w:t>flašira ili stavlja u ambalažu radi prodaje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, tačka </w:t>
      </w:r>
      <w:r w:rsidR="00B3169D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na kojoj </w:t>
      </w:r>
      <w:r w:rsidR="003E4043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se voda stavlja u </w:t>
      </w:r>
      <w:r w:rsidR="001E767C" w:rsidRPr="00D9488A">
        <w:rPr>
          <w:rFonts w:ascii="Verdana" w:hAnsi="Verdana"/>
          <w:color w:val="1A171C"/>
          <w:sz w:val="20"/>
          <w:szCs w:val="20"/>
          <w:lang w:val="hr-HR"/>
        </w:rPr>
        <w:t>flaše ili ambalažu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;</w:t>
      </w:r>
    </w:p>
    <w:p w:rsidR="00B9246A" w:rsidRPr="00D9488A" w:rsidRDefault="00B9246A" w:rsidP="00B9246A">
      <w:pPr>
        <w:pStyle w:val="BodyText"/>
        <w:tabs>
          <w:tab w:val="left" w:pos="709"/>
        </w:tabs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B9246A">
      <w:pPr>
        <w:pStyle w:val="BodyText"/>
        <w:numPr>
          <w:ilvl w:val="0"/>
          <w:numId w:val="13"/>
        </w:numPr>
        <w:tabs>
          <w:tab w:val="left" w:pos="709"/>
        </w:tabs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slučaju vode koja se </w:t>
      </w:r>
      <w:r w:rsidR="00B3169D" w:rsidRPr="00D9488A">
        <w:rPr>
          <w:rFonts w:ascii="Verdana" w:hAnsi="Verdana"/>
          <w:color w:val="1A171C"/>
          <w:sz w:val="20"/>
          <w:szCs w:val="20"/>
          <w:lang w:val="hr-HR"/>
        </w:rPr>
        <w:t>koristi u pre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duzeću za proizvodnju hrane, tačka na kojoj </w:t>
      </w:r>
      <w:r w:rsidR="00B3169D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se voda koristi u preduzeću.</w:t>
      </w:r>
    </w:p>
    <w:p w:rsidR="00B3169D" w:rsidRPr="00D9488A" w:rsidRDefault="00B3169D" w:rsidP="00B3169D">
      <w:pPr>
        <w:pStyle w:val="BodyText"/>
        <w:ind w:left="426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006EA5" w:rsidRPr="00D9488A" w:rsidRDefault="00006EA5" w:rsidP="00201D10">
      <w:pPr>
        <w:pStyle w:val="BodyText"/>
        <w:numPr>
          <w:ilvl w:val="0"/>
          <w:numId w:val="14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Definicija t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čaka 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usklađenosti </w:t>
      </w:r>
      <w:r w:rsidR="005451FF" w:rsidRPr="00D9488A">
        <w:rPr>
          <w:rFonts w:ascii="Verdana" w:hAnsi="Verdana"/>
          <w:color w:val="1A171C"/>
          <w:sz w:val="20"/>
          <w:szCs w:val="20"/>
          <w:lang w:val="hr-HR"/>
        </w:rPr>
        <w:t>iz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stav</w:t>
      </w:r>
      <w:r w:rsidR="005451FF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2. t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čk</w:t>
      </w:r>
      <w:r w:rsidR="005451FF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(a) ne dovodi u pitanje izbor </w:t>
      </w:r>
      <w:r w:rsidR="00432287" w:rsidRPr="00D9488A">
        <w:rPr>
          <w:rFonts w:ascii="Verdana" w:hAnsi="Verdana"/>
          <w:color w:val="1A171C"/>
          <w:sz w:val="20"/>
          <w:szCs w:val="20"/>
          <w:lang w:val="hr-HR"/>
        </w:rPr>
        <w:t>tačke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uzorkovanja koja može biti bilo koj</w:t>
      </w:r>
      <w:r w:rsidR="00432287" w:rsidRPr="00D9488A">
        <w:rPr>
          <w:rFonts w:ascii="Verdana" w:hAnsi="Verdana"/>
          <w:color w:val="1A171C"/>
          <w:sz w:val="20"/>
          <w:szCs w:val="20"/>
          <w:lang w:val="hr-HR"/>
        </w:rPr>
        <w:t>a tačka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unutar zone </w:t>
      </w:r>
      <w:r w:rsidR="00783D96" w:rsidRPr="00D9488A">
        <w:rPr>
          <w:rFonts w:ascii="Verdana" w:hAnsi="Verdana"/>
          <w:color w:val="1A171C"/>
          <w:sz w:val="20"/>
          <w:szCs w:val="20"/>
          <w:lang w:val="hr-HR"/>
        </w:rPr>
        <w:t>isporuke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ili u postrojenju za </w:t>
      </w:r>
      <w:r w:rsidR="00063930" w:rsidRPr="00D9488A">
        <w:rPr>
          <w:rFonts w:ascii="Verdana" w:hAnsi="Verdana"/>
          <w:color w:val="1A171C"/>
          <w:sz w:val="20"/>
          <w:szCs w:val="20"/>
          <w:lang w:val="hr-HR"/>
        </w:rPr>
        <w:t>pre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radu pod u</w:t>
      </w:r>
      <w:r w:rsidR="00783D96" w:rsidRPr="00D9488A">
        <w:rPr>
          <w:rFonts w:ascii="Verdana" w:hAnsi="Verdana"/>
          <w:color w:val="1A171C"/>
          <w:sz w:val="20"/>
          <w:szCs w:val="20"/>
          <w:lang w:val="hr-HR"/>
        </w:rPr>
        <w:t>slovom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da nema negativne promjene vrijednosti koncentracije između t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čke uzorkovanja i t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čke usklađenosti.</w:t>
      </w:r>
    </w:p>
    <w:p w:rsidR="008F3737" w:rsidRPr="00D9488A" w:rsidRDefault="008F3737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Član 6.</w:t>
      </w:r>
    </w:p>
    <w:p w:rsidR="00006EA5" w:rsidRPr="00D9488A" w:rsidRDefault="000B1544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Monitoring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 xml:space="preserve"> i analiza</w:t>
      </w:r>
    </w:p>
    <w:p w:rsidR="008F3737" w:rsidRPr="00D9488A" w:rsidRDefault="008F3737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01D10">
      <w:pPr>
        <w:pStyle w:val="BodyText"/>
        <w:numPr>
          <w:ilvl w:val="0"/>
          <w:numId w:val="15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Države članice p</w:t>
      </w:r>
      <w:r w:rsidR="000B1544" w:rsidRPr="00D9488A">
        <w:rPr>
          <w:rFonts w:ascii="Verdana" w:hAnsi="Verdana"/>
          <w:color w:val="1A171C"/>
          <w:sz w:val="20"/>
          <w:szCs w:val="20"/>
          <w:lang w:val="hr-HR"/>
        </w:rPr>
        <w:t>re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duzimaju sve </w:t>
      </w:r>
      <w:r w:rsidR="00432287" w:rsidRPr="00D9488A">
        <w:rPr>
          <w:rFonts w:ascii="Verdana" w:hAnsi="Verdana"/>
          <w:color w:val="1A171C"/>
          <w:sz w:val="20"/>
          <w:szCs w:val="20"/>
          <w:lang w:val="hr-HR"/>
        </w:rPr>
        <w:t xml:space="preserve">potrebne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mjere </w:t>
      </w:r>
      <w:r w:rsidR="00432287" w:rsidRPr="00D9488A">
        <w:rPr>
          <w:rFonts w:ascii="Verdana" w:hAnsi="Verdana"/>
          <w:color w:val="1A171C"/>
          <w:sz w:val="20"/>
          <w:szCs w:val="20"/>
          <w:lang w:val="hr-HR"/>
        </w:rPr>
        <w:t>u cilju</w:t>
      </w:r>
      <w:r w:rsidR="000B1544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osiguranj</w:t>
      </w:r>
      <w:r w:rsidR="00432287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da se </w:t>
      </w:r>
      <w:r w:rsidR="000B1544" w:rsidRPr="00D9488A">
        <w:rPr>
          <w:rFonts w:ascii="Verdana" w:hAnsi="Verdana"/>
          <w:color w:val="1A171C"/>
          <w:sz w:val="20"/>
          <w:szCs w:val="20"/>
          <w:lang w:val="hr-HR"/>
        </w:rPr>
        <w:t>monitoring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radioaktivnih </w:t>
      </w:r>
      <w:r w:rsidR="00201D10" w:rsidRPr="00D9488A">
        <w:rPr>
          <w:rFonts w:ascii="Verdana" w:hAnsi="Verdana"/>
          <w:color w:val="1A171C"/>
          <w:sz w:val="20"/>
          <w:szCs w:val="20"/>
          <w:lang w:val="hr-HR"/>
        </w:rPr>
        <w:t>supstanci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vodi namijenjenoj za ljudsku potrošnju </w:t>
      </w:r>
      <w:r w:rsidR="000B1544" w:rsidRPr="00D9488A">
        <w:rPr>
          <w:rFonts w:ascii="Verdana" w:hAnsi="Verdana"/>
          <w:color w:val="1A171C"/>
          <w:sz w:val="20"/>
          <w:szCs w:val="20"/>
          <w:lang w:val="hr-HR"/>
        </w:rPr>
        <w:t>obavlja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skladu sa strategijama i učestalošću </w:t>
      </w:r>
      <w:r w:rsidR="000B1544" w:rsidRPr="00D9488A">
        <w:rPr>
          <w:rFonts w:ascii="Verdana" w:hAnsi="Verdana"/>
          <w:color w:val="1A171C"/>
          <w:sz w:val="20"/>
          <w:szCs w:val="20"/>
          <w:lang w:val="hr-HR"/>
        </w:rPr>
        <w:t>monitoringa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određenim u </w:t>
      </w:r>
      <w:r w:rsidR="00274C45" w:rsidRPr="00D9488A">
        <w:rPr>
          <w:rFonts w:ascii="Verdana" w:hAnsi="Verdana"/>
          <w:color w:val="1A171C"/>
          <w:sz w:val="20"/>
          <w:szCs w:val="20"/>
          <w:lang w:val="hr-HR"/>
        </w:rPr>
        <w:t>Aneks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II radi provjere </w:t>
      </w:r>
      <w:r w:rsidR="00201D1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da li </w:t>
      </w:r>
      <w:r w:rsidR="000B1544" w:rsidRPr="00D9488A">
        <w:rPr>
          <w:rFonts w:ascii="Verdana" w:hAnsi="Verdana"/>
          <w:color w:val="1A171C"/>
          <w:sz w:val="20"/>
          <w:szCs w:val="20"/>
          <w:lang w:val="hr-HR"/>
        </w:rPr>
        <w:t xml:space="preserve">su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vrijednosti radioaktivnih </w:t>
      </w:r>
      <w:r w:rsidR="00201D10" w:rsidRPr="00D9488A">
        <w:rPr>
          <w:rFonts w:ascii="Verdana" w:hAnsi="Verdana"/>
          <w:color w:val="1A171C"/>
          <w:sz w:val="20"/>
          <w:szCs w:val="20"/>
          <w:lang w:val="hr-HR"/>
        </w:rPr>
        <w:t>supstanci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0B1544"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skladu sa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vrijednosti</w:t>
      </w:r>
      <w:r w:rsidR="000B1544" w:rsidRPr="00D9488A">
        <w:rPr>
          <w:rFonts w:ascii="Verdana" w:hAnsi="Verdana"/>
          <w:color w:val="1A171C"/>
          <w:sz w:val="20"/>
          <w:szCs w:val="20"/>
          <w:lang w:val="hr-HR"/>
        </w:rPr>
        <w:t>ma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parametara utvrđen</w:t>
      </w:r>
      <w:r w:rsidR="000B1544" w:rsidRPr="00D9488A">
        <w:rPr>
          <w:rFonts w:ascii="Verdana" w:hAnsi="Verdana"/>
          <w:color w:val="1A171C"/>
          <w:sz w:val="20"/>
          <w:szCs w:val="20"/>
          <w:lang w:val="hr-HR"/>
        </w:rPr>
        <w:t>im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skladu s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članom 5 stav 1.</w:t>
      </w:r>
    </w:p>
    <w:p w:rsidR="000B1544" w:rsidRPr="00D9488A" w:rsidRDefault="000B1544" w:rsidP="000B1544">
      <w:pPr>
        <w:pStyle w:val="ListParagraph"/>
        <w:ind w:left="722"/>
        <w:rPr>
          <w:rFonts w:ascii="Times New Roman" w:eastAsia="Times New Roman" w:hAnsi="Times New Roman" w:cs="Times New Roman"/>
          <w:szCs w:val="20"/>
          <w:lang w:val="hr-HR" w:eastAsia="en-GB"/>
        </w:rPr>
      </w:pPr>
    </w:p>
    <w:p w:rsidR="00006EA5" w:rsidRPr="00D9488A" w:rsidRDefault="00006EA5" w:rsidP="00201D10">
      <w:pPr>
        <w:ind w:left="284"/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Države članice osiguravaju da se </w:t>
      </w:r>
      <w:r w:rsidR="00C14222" w:rsidRPr="00D9488A">
        <w:rPr>
          <w:color w:val="1A171C"/>
          <w:szCs w:val="20"/>
          <w:lang w:val="hr-HR"/>
        </w:rPr>
        <w:t>monitoring</w:t>
      </w:r>
      <w:r w:rsidR="00C14222" w:rsidRPr="00D9488A">
        <w:rPr>
          <w:rFonts w:eastAsia="Times New Roman" w:cs="Times New Roman"/>
          <w:szCs w:val="20"/>
          <w:lang w:val="hr-HR" w:eastAsia="en-GB"/>
        </w:rPr>
        <w:t xml:space="preserve"> obavlja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9D68EC" w:rsidRPr="00D9488A">
        <w:rPr>
          <w:rFonts w:eastAsia="Times New Roman" w:cs="Times New Roman"/>
          <w:szCs w:val="20"/>
          <w:lang w:val="hr-HR" w:eastAsia="en-GB"/>
        </w:rPr>
        <w:t>tako da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se osigura da dobi</w:t>
      </w:r>
      <w:r w:rsidR="00C14222" w:rsidRPr="00D9488A">
        <w:rPr>
          <w:rFonts w:eastAsia="Times New Roman" w:cs="Times New Roman"/>
          <w:szCs w:val="20"/>
          <w:lang w:val="hr-HR" w:eastAsia="en-GB"/>
        </w:rPr>
        <w:t>j</w:t>
      </w:r>
      <w:r w:rsidRPr="00D9488A">
        <w:rPr>
          <w:rFonts w:eastAsia="Times New Roman" w:cs="Times New Roman"/>
          <w:szCs w:val="20"/>
          <w:lang w:val="hr-HR" w:eastAsia="en-GB"/>
        </w:rPr>
        <w:t xml:space="preserve">ene izmjerene vrijednosti </w:t>
      </w:r>
      <w:r w:rsidR="009D68EC" w:rsidRPr="00D9488A">
        <w:rPr>
          <w:rFonts w:eastAsia="Times New Roman" w:cs="Times New Roman"/>
          <w:szCs w:val="20"/>
          <w:lang w:val="hr-HR" w:eastAsia="en-GB"/>
        </w:rPr>
        <w:t>budu reprezentativne za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kvalitet vode koja se konzumira t</w:t>
      </w:r>
      <w:r w:rsidR="008F3737" w:rsidRPr="00D9488A">
        <w:rPr>
          <w:rFonts w:eastAsia="Times New Roman" w:cs="Times New Roman"/>
          <w:szCs w:val="20"/>
          <w:lang w:val="hr-HR" w:eastAsia="en-GB"/>
        </w:rPr>
        <w:t>o</w:t>
      </w:r>
      <w:r w:rsidRPr="00D9488A">
        <w:rPr>
          <w:rFonts w:eastAsia="Times New Roman" w:cs="Times New Roman"/>
          <w:szCs w:val="20"/>
          <w:lang w:val="hr-HR" w:eastAsia="en-GB"/>
        </w:rPr>
        <w:t xml:space="preserve">kom cijele godine. U slučaju vode namijenjene za ljudsku potrošnju koja se </w:t>
      </w:r>
      <w:r w:rsidR="001E767C" w:rsidRPr="00D9488A">
        <w:rPr>
          <w:color w:val="1A171C"/>
          <w:szCs w:val="20"/>
          <w:lang w:val="hr-HR"/>
        </w:rPr>
        <w:t>flašira ili stavlja u ambalažu radi prodaje</w:t>
      </w:r>
      <w:r w:rsidRPr="00D9488A">
        <w:rPr>
          <w:rFonts w:eastAsia="Times New Roman" w:cs="Times New Roman"/>
          <w:szCs w:val="20"/>
          <w:lang w:val="hr-HR" w:eastAsia="en-GB"/>
        </w:rPr>
        <w:t xml:space="preserve">, </w:t>
      </w:r>
      <w:r w:rsidR="009D68EC" w:rsidRPr="00D9488A">
        <w:rPr>
          <w:rFonts w:eastAsia="Times New Roman" w:cs="Times New Roman"/>
          <w:szCs w:val="20"/>
          <w:lang w:val="hr-HR" w:eastAsia="en-GB"/>
        </w:rPr>
        <w:t>ovim se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ne dovod</w:t>
      </w:r>
      <w:r w:rsidR="009D68EC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 pitanje </w:t>
      </w:r>
      <w:r w:rsidR="00922BC2" w:rsidRPr="00D9488A">
        <w:rPr>
          <w:rFonts w:eastAsia="Times New Roman" w:cs="Times New Roman"/>
          <w:szCs w:val="20"/>
          <w:lang w:val="hr-HR" w:eastAsia="en-GB"/>
        </w:rPr>
        <w:t>princip</w:t>
      </w:r>
      <w:r w:rsidR="009D68EC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HACCP-a</w:t>
      </w:r>
      <w:r w:rsidR="0006144F" w:rsidRPr="00D9488A">
        <w:rPr>
          <w:rFonts w:eastAsia="Times New Roman" w:cs="Times New Roman"/>
          <w:szCs w:val="20"/>
          <w:lang w:val="hr-HR" w:eastAsia="en-GB"/>
        </w:rPr>
        <w:t xml:space="preserve"> propisan</w:t>
      </w:r>
      <w:r w:rsidR="00063930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Uredb</w:t>
      </w:r>
      <w:r w:rsidR="00922BC2" w:rsidRPr="00D9488A">
        <w:rPr>
          <w:rFonts w:eastAsia="Times New Roman" w:cs="Times New Roman"/>
          <w:szCs w:val="20"/>
          <w:lang w:val="hr-HR" w:eastAsia="en-GB"/>
        </w:rPr>
        <w:t>om</w:t>
      </w:r>
      <w:r w:rsidRPr="00D9488A">
        <w:rPr>
          <w:rFonts w:eastAsia="Times New Roman" w:cs="Times New Roman"/>
          <w:szCs w:val="20"/>
          <w:lang w:val="hr-HR" w:eastAsia="en-GB"/>
        </w:rPr>
        <w:t xml:space="preserve"> (EZ) br. 852/2004 </w:t>
      </w:r>
      <w:r w:rsidR="00922BC2" w:rsidRPr="00D9488A">
        <w:rPr>
          <w:rFonts w:eastAsia="Times New Roman" w:cs="Times New Roman"/>
          <w:szCs w:val="20"/>
          <w:lang w:val="hr-HR" w:eastAsia="en-GB"/>
        </w:rPr>
        <w:t>ni princip</w:t>
      </w:r>
      <w:r w:rsidR="009D68EC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služben</w:t>
      </w:r>
      <w:r w:rsidR="0006144F" w:rsidRPr="00D9488A">
        <w:rPr>
          <w:rFonts w:eastAsia="Times New Roman" w:cs="Times New Roman"/>
          <w:szCs w:val="20"/>
          <w:lang w:val="hr-HR" w:eastAsia="en-GB"/>
        </w:rPr>
        <w:t xml:space="preserve">ih </w:t>
      </w:r>
      <w:r w:rsidR="009D68EC" w:rsidRPr="00D9488A">
        <w:rPr>
          <w:rFonts w:eastAsia="Times New Roman" w:cs="Times New Roman"/>
          <w:szCs w:val="20"/>
          <w:lang w:val="hr-HR" w:eastAsia="en-GB"/>
        </w:rPr>
        <w:t xml:space="preserve">mjera </w:t>
      </w:r>
      <w:r w:rsidR="0006144F" w:rsidRPr="00D9488A">
        <w:rPr>
          <w:rFonts w:eastAsia="Times New Roman" w:cs="Times New Roman"/>
          <w:szCs w:val="20"/>
          <w:lang w:val="hr-HR" w:eastAsia="en-GB"/>
        </w:rPr>
        <w:t>kontrol</w:t>
      </w:r>
      <w:r w:rsidR="009D68EC" w:rsidRPr="00D9488A">
        <w:rPr>
          <w:rFonts w:eastAsia="Times New Roman" w:cs="Times New Roman"/>
          <w:szCs w:val="20"/>
          <w:lang w:val="hr-HR" w:eastAsia="en-GB"/>
        </w:rPr>
        <w:t>e</w:t>
      </w:r>
      <w:r w:rsidR="0006144F" w:rsidRPr="00D9488A">
        <w:rPr>
          <w:rFonts w:eastAsia="Times New Roman" w:cs="Times New Roman"/>
          <w:szCs w:val="20"/>
          <w:lang w:val="hr-HR" w:eastAsia="en-GB"/>
        </w:rPr>
        <w:t xml:space="preserve"> utvrđenih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 Uredbi (EZ) br. 882/2004.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970B12" w:rsidP="00201D10">
      <w:pPr>
        <w:pStyle w:val="BodyText"/>
        <w:numPr>
          <w:ilvl w:val="0"/>
          <w:numId w:val="15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Monitoring</w:t>
      </w:r>
      <w:r w:rsidR="00006EA5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9D68EC" w:rsidRPr="00D9488A">
        <w:rPr>
          <w:rFonts w:ascii="Verdana" w:hAnsi="Verdana"/>
          <w:color w:val="1A171C"/>
          <w:sz w:val="20"/>
          <w:szCs w:val="20"/>
          <w:lang w:val="hr-HR"/>
        </w:rPr>
        <w:t>na</w:t>
      </w:r>
      <w:r w:rsidR="00006EA5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ID i </w:t>
      </w:r>
      <w:r w:rsidR="00B1231F" w:rsidRPr="00D9488A">
        <w:rPr>
          <w:rFonts w:ascii="Verdana" w:hAnsi="Verdana"/>
          <w:color w:val="1A171C"/>
          <w:sz w:val="20"/>
          <w:szCs w:val="20"/>
          <w:lang w:val="hr-HR"/>
        </w:rPr>
        <w:t>karakteristike obavljanja analiza</w:t>
      </w:r>
      <w:r w:rsidR="00006EA5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611FDB" w:rsidRPr="00D9488A">
        <w:rPr>
          <w:rFonts w:ascii="Verdana" w:hAnsi="Verdana"/>
          <w:color w:val="1A171C"/>
          <w:sz w:val="20"/>
          <w:szCs w:val="20"/>
          <w:lang w:val="hr-HR"/>
        </w:rPr>
        <w:t xml:space="preserve">moraju biti u skladu </w:t>
      </w:r>
      <w:r w:rsidR="00006EA5" w:rsidRPr="00D9488A">
        <w:rPr>
          <w:rFonts w:ascii="Verdana" w:hAnsi="Verdana"/>
          <w:color w:val="1A171C"/>
          <w:sz w:val="20"/>
          <w:szCs w:val="20"/>
          <w:lang w:val="hr-HR"/>
        </w:rPr>
        <w:t xml:space="preserve">sa zahtjevima </w:t>
      </w:r>
      <w:r w:rsidR="00611FDB" w:rsidRPr="00D9488A">
        <w:rPr>
          <w:rFonts w:ascii="Verdana" w:hAnsi="Verdana"/>
          <w:color w:val="1A171C"/>
          <w:sz w:val="20"/>
          <w:szCs w:val="20"/>
          <w:lang w:val="hr-HR"/>
        </w:rPr>
        <w:t>iz</w:t>
      </w:r>
      <w:r w:rsidR="00006EA5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274C45" w:rsidRPr="00D9488A">
        <w:rPr>
          <w:rFonts w:ascii="Verdana" w:hAnsi="Verdana"/>
          <w:color w:val="1A171C"/>
          <w:sz w:val="20"/>
          <w:szCs w:val="20"/>
          <w:lang w:val="hr-HR"/>
        </w:rPr>
        <w:t>Aneks</w:t>
      </w:r>
      <w:r w:rsidR="00611FDB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="00006EA5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III.</w:t>
      </w:r>
    </w:p>
    <w:p w:rsidR="008F3737" w:rsidRPr="00D9488A" w:rsidRDefault="008F3737" w:rsidP="00201D10">
      <w:pPr>
        <w:pStyle w:val="BodyText"/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006EA5" w:rsidRPr="00D9488A" w:rsidRDefault="00006EA5" w:rsidP="00063930">
      <w:pPr>
        <w:pStyle w:val="BodyText"/>
        <w:numPr>
          <w:ilvl w:val="0"/>
          <w:numId w:val="15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Države članice osiguravaju da sv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="0006144F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laboratorij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611FDB" w:rsidRPr="00D9488A">
        <w:rPr>
          <w:rFonts w:ascii="Verdana" w:hAnsi="Verdana"/>
          <w:color w:val="1A171C"/>
          <w:sz w:val="20"/>
          <w:szCs w:val="20"/>
          <w:lang w:val="hr-HR"/>
        </w:rPr>
        <w:t>koje analiziraju uzorke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imaju s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istem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analitičke kontrole kvalitet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koji podliježe provjerama</w:t>
      </w:r>
      <w:r w:rsidR="0006393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od strane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vanjske organizacije </w:t>
      </w:r>
      <w:r w:rsidR="00063930" w:rsidRPr="00D9488A">
        <w:rPr>
          <w:rFonts w:ascii="Verdana" w:hAnsi="Verdana"/>
          <w:color w:val="1A171C"/>
          <w:sz w:val="20"/>
          <w:szCs w:val="20"/>
          <w:lang w:val="hr-HR"/>
        </w:rPr>
        <w:t>koju je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nadležn</w:t>
      </w:r>
      <w:r w:rsidR="00063930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2F3A7E" w:rsidRPr="00D9488A">
        <w:rPr>
          <w:rFonts w:ascii="Verdana" w:hAnsi="Verdana"/>
          <w:color w:val="1A171C"/>
          <w:sz w:val="20"/>
          <w:szCs w:val="20"/>
          <w:lang w:val="hr-HR"/>
        </w:rPr>
        <w:t>organ</w:t>
      </w:r>
      <w:r w:rsidR="00063930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odobrio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 tu svrhu.</w:t>
      </w:r>
    </w:p>
    <w:p w:rsidR="00063930" w:rsidRPr="00D9488A" w:rsidRDefault="00063930" w:rsidP="00063930">
      <w:pPr>
        <w:pStyle w:val="BodyText"/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A31400" w:rsidRPr="00D9488A" w:rsidRDefault="00A31400" w:rsidP="00063930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D3541D" w:rsidRPr="00D9488A" w:rsidTr="00C9200F">
        <w:trPr>
          <w:tblCellSpacing w:w="0" w:type="dxa"/>
        </w:trPr>
        <w:tc>
          <w:tcPr>
            <w:tcW w:w="0" w:type="auto"/>
            <w:hideMark/>
          </w:tcPr>
          <w:p w:rsidR="00A31400" w:rsidRPr="00D9488A" w:rsidRDefault="00A31400" w:rsidP="00063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A31400" w:rsidRPr="00D9488A" w:rsidRDefault="00A31400" w:rsidP="00063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A31400" w:rsidRPr="00D9488A" w:rsidRDefault="00A31400" w:rsidP="00063930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D3541D" w:rsidRPr="00D9488A" w:rsidTr="00C9200F">
        <w:trPr>
          <w:tblCellSpacing w:w="0" w:type="dxa"/>
        </w:trPr>
        <w:tc>
          <w:tcPr>
            <w:tcW w:w="0" w:type="auto"/>
            <w:hideMark/>
          </w:tcPr>
          <w:p w:rsidR="00A31400" w:rsidRPr="00D9488A" w:rsidRDefault="00A31400" w:rsidP="00063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A31400" w:rsidRPr="00D9488A" w:rsidRDefault="00A31400" w:rsidP="00063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A31400" w:rsidRPr="00D9488A" w:rsidRDefault="00A31400" w:rsidP="00063930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006EA5" w:rsidRPr="00D9488A" w:rsidRDefault="00006EA5" w:rsidP="00063930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Član 7.</w:t>
      </w:r>
    </w:p>
    <w:p w:rsidR="00006EA5" w:rsidRPr="00D9488A" w:rsidRDefault="00422122" w:rsidP="00063930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M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>jere</w:t>
      </w:r>
      <w:r w:rsidRPr="00D9488A">
        <w:rPr>
          <w:rFonts w:eastAsia="Times New Roman" w:cs="Times New Roman"/>
          <w:b/>
          <w:szCs w:val="20"/>
          <w:lang w:val="hr-HR" w:eastAsia="en-GB"/>
        </w:rPr>
        <w:t xml:space="preserve"> sanacije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 xml:space="preserve"> i obavješ</w:t>
      </w:r>
      <w:r w:rsidR="00B9246A" w:rsidRPr="00D9488A">
        <w:rPr>
          <w:rFonts w:eastAsia="Times New Roman" w:cs="Times New Roman"/>
          <w:b/>
          <w:szCs w:val="20"/>
          <w:lang w:val="hr-HR" w:eastAsia="en-GB"/>
        </w:rPr>
        <w:t>ta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>vanje stanovništva</w:t>
      </w:r>
    </w:p>
    <w:p w:rsidR="008F3737" w:rsidRPr="00D9488A" w:rsidRDefault="008F3737" w:rsidP="00063930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063930">
      <w:pPr>
        <w:pStyle w:val="BodyText"/>
        <w:numPr>
          <w:ilvl w:val="0"/>
          <w:numId w:val="16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Države članice osiguravaju </w:t>
      </w:r>
      <w:r w:rsidR="00421975" w:rsidRPr="00D9488A">
        <w:rPr>
          <w:rFonts w:ascii="Verdana" w:hAnsi="Verdana"/>
          <w:color w:val="1A171C"/>
          <w:sz w:val="20"/>
          <w:szCs w:val="20"/>
          <w:lang w:val="hr-HR"/>
        </w:rPr>
        <w:t>da neusklađenost sa bilo kojom vrijednošću parametra utvrđenoj u skladu sa članom 5 stav 1. bude odmah ispitana da bi se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utvrdio uzrok.</w:t>
      </w:r>
    </w:p>
    <w:p w:rsidR="008F3737" w:rsidRPr="00D9488A" w:rsidRDefault="008F3737" w:rsidP="00B9246A">
      <w:pPr>
        <w:pStyle w:val="BodyText"/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006EA5" w:rsidRPr="00D9488A" w:rsidRDefault="00006EA5" w:rsidP="00B9246A">
      <w:pPr>
        <w:pStyle w:val="BodyText"/>
        <w:numPr>
          <w:ilvl w:val="0"/>
          <w:numId w:val="16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U slučaju </w:t>
      </w:r>
      <w:r w:rsidR="00421975" w:rsidRPr="00D9488A">
        <w:rPr>
          <w:rFonts w:ascii="Verdana" w:hAnsi="Verdana"/>
          <w:color w:val="1A171C"/>
          <w:sz w:val="20"/>
          <w:szCs w:val="20"/>
          <w:lang w:val="hr-HR"/>
        </w:rPr>
        <w:t>neusklađenost</w:t>
      </w:r>
      <w:r w:rsidR="005F4B0F" w:rsidRPr="00D9488A">
        <w:rPr>
          <w:rFonts w:ascii="Verdana" w:hAnsi="Verdana"/>
          <w:color w:val="1A171C"/>
          <w:sz w:val="20"/>
          <w:szCs w:val="20"/>
          <w:lang w:val="hr-HR"/>
        </w:rPr>
        <w:t>i</w:t>
      </w:r>
      <w:r w:rsidR="00421975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sa bilo kojom vrijednošću parametra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, država članica procjenjuje </w:t>
      </w:r>
      <w:r w:rsidR="00396EAD" w:rsidRPr="00D9488A">
        <w:rPr>
          <w:rFonts w:ascii="Verdana" w:hAnsi="Verdana"/>
          <w:color w:val="1A171C"/>
          <w:sz w:val="20"/>
          <w:szCs w:val="20"/>
          <w:lang w:val="hr-HR"/>
        </w:rPr>
        <w:t>da li t</w:t>
      </w:r>
      <w:r w:rsidR="00421975" w:rsidRPr="00D9488A">
        <w:rPr>
          <w:rFonts w:ascii="Verdana" w:hAnsi="Verdana"/>
          <w:color w:val="1A171C"/>
          <w:sz w:val="20"/>
          <w:szCs w:val="20"/>
          <w:lang w:val="hr-HR"/>
        </w:rPr>
        <w:t>a</w:t>
      </w:r>
      <w:r w:rsidR="00396EAD" w:rsidRPr="00D9488A">
        <w:rPr>
          <w:rFonts w:ascii="Verdana" w:hAnsi="Verdana"/>
          <w:color w:val="1A171C"/>
          <w:sz w:val="20"/>
          <w:szCs w:val="20"/>
          <w:lang w:val="hr-HR"/>
        </w:rPr>
        <w:t xml:space="preserve"> </w:t>
      </w:r>
      <w:r w:rsidR="00421975" w:rsidRPr="00D9488A">
        <w:rPr>
          <w:rFonts w:ascii="Verdana" w:hAnsi="Verdana"/>
          <w:color w:val="1A171C"/>
          <w:sz w:val="20"/>
          <w:szCs w:val="20"/>
          <w:lang w:val="hr-HR"/>
        </w:rPr>
        <w:t xml:space="preserve">neusklađenost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predstavlja rizik za ljudsko zdravlje koji zahtijeva </w:t>
      </w:r>
      <w:r w:rsidR="00421975" w:rsidRPr="00D9488A">
        <w:rPr>
          <w:rFonts w:ascii="Verdana" w:hAnsi="Verdana"/>
          <w:color w:val="1A171C"/>
          <w:sz w:val="20"/>
          <w:szCs w:val="20"/>
          <w:lang w:val="hr-HR"/>
        </w:rPr>
        <w:t>mjere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.</w:t>
      </w:r>
    </w:p>
    <w:p w:rsidR="008F3737" w:rsidRPr="00D9488A" w:rsidRDefault="008F3737" w:rsidP="00B9246A">
      <w:pPr>
        <w:pStyle w:val="BodyText"/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006EA5" w:rsidRPr="00D9488A" w:rsidRDefault="00006EA5" w:rsidP="00B9246A">
      <w:pPr>
        <w:pStyle w:val="BodyText"/>
        <w:numPr>
          <w:ilvl w:val="0"/>
          <w:numId w:val="16"/>
        </w:numPr>
        <w:ind w:left="284" w:hanging="284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>U slučaju da takav rizik iz stava 2</w:t>
      </w:r>
      <w:r w:rsidR="008F3737" w:rsidRPr="00D9488A">
        <w:rPr>
          <w:rFonts w:ascii="Verdana" w:hAnsi="Verdana"/>
          <w:color w:val="1A171C"/>
          <w:sz w:val="20"/>
          <w:szCs w:val="20"/>
          <w:lang w:val="hr-HR"/>
        </w:rPr>
        <w:t>.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postoji, država članica: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8F3737" w:rsidRPr="00D9488A" w:rsidRDefault="008F3737" w:rsidP="00B9246A">
      <w:pPr>
        <w:pStyle w:val="BodyText"/>
        <w:numPr>
          <w:ilvl w:val="0"/>
          <w:numId w:val="17"/>
        </w:numPr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lastRenderedPageBreak/>
        <w:t>p</w:t>
      </w:r>
      <w:r w:rsidR="00B9246A" w:rsidRPr="00D9488A">
        <w:rPr>
          <w:rFonts w:ascii="Verdana" w:hAnsi="Verdana"/>
          <w:color w:val="1A171C"/>
          <w:sz w:val="20"/>
          <w:szCs w:val="20"/>
          <w:lang w:val="hr-HR"/>
        </w:rPr>
        <w:t>re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duzima mjere </w:t>
      </w:r>
      <w:r w:rsidR="00422122" w:rsidRPr="00D9488A">
        <w:rPr>
          <w:rFonts w:ascii="Verdana" w:hAnsi="Verdana"/>
          <w:color w:val="1A171C"/>
          <w:sz w:val="20"/>
          <w:szCs w:val="20"/>
          <w:lang w:val="hr-HR"/>
        </w:rPr>
        <w:t xml:space="preserve">sanacije u cilju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postizanja usklađenosti sa zahtjevima za </w:t>
      </w:r>
      <w:r w:rsidR="00F432BA" w:rsidRPr="00D9488A">
        <w:rPr>
          <w:rFonts w:ascii="Verdana" w:hAnsi="Verdana"/>
          <w:color w:val="1A171C"/>
          <w:sz w:val="20"/>
          <w:szCs w:val="20"/>
          <w:lang w:val="hr-HR"/>
        </w:rPr>
        <w:tab/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zaštitu ljudskog zdravlja sa </w:t>
      </w:r>
      <w:r w:rsidR="00422122" w:rsidRPr="00D9488A">
        <w:rPr>
          <w:rFonts w:ascii="Verdana" w:hAnsi="Verdana"/>
          <w:color w:val="1A171C"/>
          <w:sz w:val="20"/>
          <w:szCs w:val="20"/>
          <w:lang w:val="hr-HR"/>
        </w:rPr>
        <w:t>aspekta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 zaštite od zračenja; i</w:t>
      </w:r>
    </w:p>
    <w:p w:rsidR="00421975" w:rsidRPr="00D9488A" w:rsidRDefault="00421975" w:rsidP="00421975">
      <w:pPr>
        <w:pStyle w:val="BodyText"/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8F3737" w:rsidP="00B9246A">
      <w:pPr>
        <w:pStyle w:val="BodyText"/>
        <w:numPr>
          <w:ilvl w:val="0"/>
          <w:numId w:val="17"/>
        </w:numPr>
        <w:ind w:left="284" w:firstLine="0"/>
        <w:jc w:val="both"/>
        <w:rPr>
          <w:rFonts w:ascii="Verdana" w:hAnsi="Verdana"/>
          <w:color w:val="1A171C"/>
          <w:sz w:val="20"/>
          <w:szCs w:val="20"/>
          <w:lang w:val="hr-HR"/>
        </w:rPr>
      </w:pPr>
      <w:r w:rsidRPr="00D9488A">
        <w:rPr>
          <w:rFonts w:ascii="Verdana" w:hAnsi="Verdana"/>
          <w:color w:val="1A171C"/>
          <w:sz w:val="20"/>
          <w:szCs w:val="20"/>
          <w:lang w:val="hr-HR"/>
        </w:rPr>
        <w:t xml:space="preserve">osigurava da </w:t>
      </w:r>
      <w:r w:rsidR="00421975" w:rsidRPr="00D9488A">
        <w:rPr>
          <w:rFonts w:ascii="Verdana" w:hAnsi="Verdana"/>
          <w:color w:val="1A171C"/>
          <w:sz w:val="20"/>
          <w:szCs w:val="20"/>
          <w:lang w:val="hr-HR"/>
        </w:rPr>
        <w:t xml:space="preserve">dato </w:t>
      </w:r>
      <w:r w:rsidRPr="00D9488A">
        <w:rPr>
          <w:rFonts w:ascii="Verdana" w:hAnsi="Verdana"/>
          <w:color w:val="1A171C"/>
          <w:sz w:val="20"/>
          <w:szCs w:val="20"/>
          <w:lang w:val="hr-HR"/>
        </w:rPr>
        <w:t>stanovništvo:</w:t>
      </w:r>
    </w:p>
    <w:p w:rsidR="00396EAD" w:rsidRPr="00D9488A" w:rsidRDefault="00396EAD" w:rsidP="00396EAD">
      <w:pPr>
        <w:pStyle w:val="BodyText"/>
        <w:ind w:left="284"/>
        <w:jc w:val="both"/>
        <w:rPr>
          <w:rFonts w:ascii="Verdana" w:hAnsi="Verdana"/>
          <w:color w:val="1A171C"/>
          <w:sz w:val="20"/>
          <w:szCs w:val="20"/>
          <w:lang w:val="hr-HR"/>
        </w:rPr>
      </w:pPr>
    </w:p>
    <w:p w:rsidR="008F3737" w:rsidRPr="00D9488A" w:rsidRDefault="00422122" w:rsidP="00B9246A">
      <w:pPr>
        <w:pStyle w:val="ListParagraph"/>
        <w:numPr>
          <w:ilvl w:val="0"/>
          <w:numId w:val="18"/>
        </w:numPr>
        <w:tabs>
          <w:tab w:val="left" w:pos="189"/>
          <w:tab w:val="left" w:pos="993"/>
        </w:tabs>
        <w:ind w:left="851" w:firstLine="0"/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bude </w:t>
      </w:r>
      <w:r w:rsidR="008F3737" w:rsidRPr="00D9488A">
        <w:rPr>
          <w:rFonts w:eastAsia="Times New Roman" w:cs="Times New Roman"/>
          <w:szCs w:val="20"/>
          <w:lang w:val="hr-HR" w:eastAsia="en-GB"/>
        </w:rPr>
        <w:t>obaviješteno o riziku i p</w:t>
      </w:r>
      <w:r w:rsidR="003E4043">
        <w:rPr>
          <w:rFonts w:eastAsia="Times New Roman" w:cs="Times New Roman"/>
          <w:szCs w:val="20"/>
          <w:lang w:val="hr-HR" w:eastAsia="en-GB"/>
        </w:rPr>
        <w:t>re</w:t>
      </w:r>
      <w:r w:rsidR="008F3737" w:rsidRPr="00D9488A">
        <w:rPr>
          <w:rFonts w:eastAsia="Times New Roman" w:cs="Times New Roman"/>
          <w:szCs w:val="20"/>
          <w:lang w:val="hr-HR" w:eastAsia="en-GB"/>
        </w:rPr>
        <w:t>duzetim mjerama</w:t>
      </w:r>
      <w:r w:rsidR="005F4B0F" w:rsidRPr="00D9488A">
        <w:rPr>
          <w:rFonts w:eastAsia="Times New Roman" w:cs="Times New Roman"/>
          <w:szCs w:val="20"/>
          <w:lang w:val="hr-HR" w:eastAsia="en-GB"/>
        </w:rPr>
        <w:t xml:space="preserve"> sanacije</w:t>
      </w:r>
      <w:r w:rsidR="008F3737" w:rsidRPr="00D9488A">
        <w:rPr>
          <w:rFonts w:eastAsia="Times New Roman" w:cs="Times New Roman"/>
          <w:szCs w:val="20"/>
          <w:lang w:val="hr-HR" w:eastAsia="en-GB"/>
        </w:rPr>
        <w:t>; i</w:t>
      </w:r>
    </w:p>
    <w:p w:rsidR="008F3737" w:rsidRPr="00D9488A" w:rsidRDefault="008F3737" w:rsidP="00B9246A">
      <w:pPr>
        <w:pStyle w:val="ListParagraph"/>
        <w:numPr>
          <w:ilvl w:val="0"/>
          <w:numId w:val="18"/>
        </w:numPr>
        <w:tabs>
          <w:tab w:val="left" w:pos="189"/>
          <w:tab w:val="left" w:pos="993"/>
        </w:tabs>
        <w:ind w:left="851" w:firstLine="0"/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dobi</w:t>
      </w:r>
      <w:r w:rsidR="00422122" w:rsidRPr="00D9488A">
        <w:rPr>
          <w:rFonts w:eastAsia="Times New Roman" w:cs="Times New Roman"/>
          <w:szCs w:val="20"/>
          <w:lang w:val="hr-HR" w:eastAsia="en-GB"/>
        </w:rPr>
        <w:t>je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savjete o svim dodatnim mjerama opreza koje bi mogle biti potrebne </w:t>
      </w:r>
      <w:r w:rsidR="00F432BA" w:rsidRPr="00D9488A">
        <w:rPr>
          <w:rFonts w:eastAsia="Times New Roman" w:cs="Times New Roman"/>
          <w:szCs w:val="20"/>
          <w:lang w:val="hr-HR" w:eastAsia="en-GB"/>
        </w:rPr>
        <w:tab/>
      </w:r>
      <w:r w:rsidRPr="00D9488A">
        <w:rPr>
          <w:rFonts w:eastAsia="Times New Roman" w:cs="Times New Roman"/>
          <w:szCs w:val="20"/>
          <w:lang w:val="hr-HR" w:eastAsia="en-GB"/>
        </w:rPr>
        <w:t xml:space="preserve">za zaštitu ljudskog zdravlja </w:t>
      </w:r>
      <w:r w:rsidR="00422122" w:rsidRPr="00D9488A">
        <w:rPr>
          <w:rFonts w:eastAsia="Times New Roman" w:cs="Times New Roman"/>
          <w:szCs w:val="20"/>
          <w:lang w:val="hr-HR" w:eastAsia="en-GB"/>
        </w:rPr>
        <w:t>u pogledu</w:t>
      </w:r>
      <w:r w:rsidRPr="00D9488A">
        <w:rPr>
          <w:rFonts w:eastAsia="Times New Roman" w:cs="Times New Roman"/>
          <w:szCs w:val="20"/>
          <w:lang w:val="hr-HR" w:eastAsia="en-GB"/>
        </w:rPr>
        <w:t xml:space="preserve"> radioaktivnih </w:t>
      </w:r>
      <w:r w:rsidR="00B9246A" w:rsidRPr="00D9488A">
        <w:rPr>
          <w:rFonts w:eastAsia="Times New Roman" w:cs="Times New Roman"/>
          <w:szCs w:val="20"/>
          <w:lang w:val="hr-HR" w:eastAsia="en-GB"/>
        </w:rPr>
        <w:t>supstanci</w:t>
      </w:r>
      <w:r w:rsidRPr="00D9488A">
        <w:rPr>
          <w:rFonts w:eastAsia="Times New Roman" w:cs="Times New Roman"/>
          <w:szCs w:val="20"/>
          <w:lang w:val="hr-HR" w:eastAsia="en-GB"/>
        </w:rPr>
        <w:t>.</w:t>
      </w:r>
    </w:p>
    <w:p w:rsidR="008F3737" w:rsidRPr="00D9488A" w:rsidRDefault="008F3737" w:rsidP="008F3737">
      <w:pPr>
        <w:tabs>
          <w:tab w:val="left" w:pos="307"/>
        </w:tabs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Član 8.</w:t>
      </w:r>
    </w:p>
    <w:p w:rsidR="008F3737" w:rsidRPr="00D9488A" w:rsidRDefault="005F4B0F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Transpozicija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 xml:space="preserve"> u </w:t>
      </w:r>
      <w:r w:rsidR="008F3737" w:rsidRPr="00D9488A">
        <w:rPr>
          <w:rFonts w:eastAsia="Times New Roman" w:cs="Times New Roman"/>
          <w:b/>
          <w:szCs w:val="20"/>
          <w:lang w:val="hr-HR" w:eastAsia="en-GB"/>
        </w:rPr>
        <w:t>zakonodavstvo države</w:t>
      </w:r>
    </w:p>
    <w:p w:rsidR="008F3737" w:rsidRPr="00D9488A" w:rsidRDefault="008F3737" w:rsidP="008F3737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75089C">
      <w:pPr>
        <w:pStyle w:val="ListParagraph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Države članice donose zakone</w:t>
      </w:r>
      <w:r w:rsidR="00422122" w:rsidRPr="00D9488A">
        <w:rPr>
          <w:rFonts w:eastAsia="Times New Roman" w:cs="Times New Roman"/>
          <w:szCs w:val="20"/>
          <w:lang w:val="hr-HR" w:eastAsia="en-GB"/>
        </w:rPr>
        <w:t>, propise i upravne odredbe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potrebne za usklađivanje s ovo</w:t>
      </w:r>
      <w:r w:rsidR="008F3737" w:rsidRPr="00D9488A">
        <w:rPr>
          <w:rFonts w:eastAsia="Times New Roman" w:cs="Times New Roman"/>
          <w:szCs w:val="20"/>
          <w:lang w:val="hr-HR" w:eastAsia="en-GB"/>
        </w:rPr>
        <w:t xml:space="preserve">m </w:t>
      </w:r>
      <w:r w:rsidR="00830599" w:rsidRPr="00D9488A">
        <w:rPr>
          <w:rFonts w:eastAsia="Times New Roman" w:cs="Times New Roman"/>
          <w:szCs w:val="20"/>
          <w:lang w:val="hr-HR" w:eastAsia="en-GB"/>
        </w:rPr>
        <w:t>d</w:t>
      </w:r>
      <w:r w:rsidR="008F3737" w:rsidRPr="00D9488A">
        <w:rPr>
          <w:rFonts w:eastAsia="Times New Roman" w:cs="Times New Roman"/>
          <w:szCs w:val="20"/>
          <w:lang w:val="hr-HR" w:eastAsia="en-GB"/>
        </w:rPr>
        <w:t>irektivom najkasnije do 28. novembra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2015. </w:t>
      </w:r>
      <w:r w:rsidR="008F3737" w:rsidRPr="00D9488A">
        <w:rPr>
          <w:rFonts w:eastAsia="Times New Roman" w:cs="Times New Roman"/>
          <w:szCs w:val="20"/>
          <w:lang w:val="hr-HR" w:eastAsia="en-GB"/>
        </w:rPr>
        <w:t xml:space="preserve">godine. </w:t>
      </w:r>
      <w:r w:rsidRPr="00D9488A">
        <w:rPr>
          <w:rFonts w:eastAsia="Times New Roman" w:cs="Times New Roman"/>
          <w:szCs w:val="20"/>
          <w:lang w:val="hr-HR" w:eastAsia="en-GB"/>
        </w:rPr>
        <w:t xml:space="preserve">One </w:t>
      </w:r>
      <w:r w:rsidR="00422122" w:rsidRPr="00D9488A">
        <w:rPr>
          <w:rFonts w:eastAsia="Times New Roman" w:cs="Times New Roman"/>
          <w:szCs w:val="20"/>
          <w:lang w:val="hr-HR" w:eastAsia="en-GB"/>
        </w:rPr>
        <w:t xml:space="preserve">odmah dostavljaju </w:t>
      </w:r>
      <w:r w:rsidRPr="00D9488A">
        <w:rPr>
          <w:rFonts w:eastAsia="Times New Roman" w:cs="Times New Roman"/>
          <w:szCs w:val="20"/>
          <w:lang w:val="hr-HR" w:eastAsia="en-GB"/>
        </w:rPr>
        <w:t>Komisiji tekst tih odredb</w:t>
      </w:r>
      <w:r w:rsidR="008F3737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>.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A1B6B" w:rsidP="000A1B6B">
      <w:pPr>
        <w:pStyle w:val="ListParagraph"/>
        <w:widowControl w:val="0"/>
        <w:tabs>
          <w:tab w:val="left" w:pos="426"/>
        </w:tabs>
        <w:ind w:left="0"/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Cambria"/>
          <w:color w:val="1A171C"/>
          <w:szCs w:val="20"/>
          <w:lang w:val="hr-HR"/>
        </w:rPr>
        <w:t>Kada države članice usvoje te odredbe, one moraju sadržavati referencu na ovu direktivu ili se uz njih navodi takva referenca prilikom službene objave. Države članice određuju način navođenja reference.</w:t>
      </w:r>
    </w:p>
    <w:p w:rsidR="008F3737" w:rsidRPr="00D9488A" w:rsidRDefault="008F3737" w:rsidP="008F3737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A1B6B" w:rsidP="0075089C">
      <w:pPr>
        <w:pStyle w:val="ListParagraph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Države članice Komisiji dostavljaju tekst glavnih odredbi zakonodavstva države koje donesu u području na koje se odnosi ova direktiva</w:t>
      </w:r>
      <w:r w:rsidR="0075089C" w:rsidRPr="00D9488A">
        <w:rPr>
          <w:rFonts w:eastAsia="Times New Roman" w:cs="Times New Roman"/>
          <w:szCs w:val="20"/>
          <w:lang w:val="hr-HR" w:eastAsia="en-GB"/>
        </w:rPr>
        <w:t>.</w:t>
      </w:r>
    </w:p>
    <w:p w:rsidR="008F3737" w:rsidRPr="00D9488A" w:rsidRDefault="008F3737" w:rsidP="008F3737">
      <w:pPr>
        <w:rPr>
          <w:rFonts w:eastAsia="Times New Roman" w:cs="Times New Roman"/>
          <w:szCs w:val="20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82"/>
        <w:gridCol w:w="4383"/>
      </w:tblGrid>
      <w:tr w:rsidR="005F4B0F" w:rsidRPr="00D9488A" w:rsidTr="00C9200F">
        <w:trPr>
          <w:tblCellSpacing w:w="0" w:type="dxa"/>
        </w:trPr>
        <w:tc>
          <w:tcPr>
            <w:tcW w:w="0" w:type="auto"/>
            <w:hideMark/>
          </w:tcPr>
          <w:p w:rsidR="005F4B0F" w:rsidRPr="00D9488A" w:rsidRDefault="005F4B0F" w:rsidP="00C9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5F4B0F" w:rsidRPr="00D9488A" w:rsidRDefault="005F4B0F" w:rsidP="00C92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</w:tbl>
    <w:p w:rsidR="005F4B0F" w:rsidRPr="00D9488A" w:rsidRDefault="005F4B0F" w:rsidP="005F4B0F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006EA5" w:rsidRPr="00D9488A" w:rsidRDefault="00006EA5" w:rsidP="008F3737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Čla</w:t>
      </w:r>
      <w:r w:rsidR="008F3737" w:rsidRPr="00D9488A">
        <w:rPr>
          <w:rFonts w:eastAsia="Times New Roman" w:cs="Times New Roman"/>
          <w:szCs w:val="20"/>
          <w:lang w:val="hr-HR" w:eastAsia="en-GB"/>
        </w:rPr>
        <w:t>n</w:t>
      </w:r>
      <w:r w:rsidRPr="00D9488A">
        <w:rPr>
          <w:rFonts w:eastAsia="Times New Roman" w:cs="Times New Roman"/>
          <w:szCs w:val="20"/>
          <w:lang w:val="hr-HR" w:eastAsia="en-GB"/>
        </w:rPr>
        <w:t xml:space="preserve"> 9.</w:t>
      </w:r>
    </w:p>
    <w:p w:rsidR="00006EA5" w:rsidRPr="00D9488A" w:rsidRDefault="00006EA5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Stupanje na snagu</w:t>
      </w:r>
    </w:p>
    <w:p w:rsidR="008F3737" w:rsidRPr="00D9488A" w:rsidRDefault="008F3737" w:rsidP="008F3737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Ova </w:t>
      </w:r>
      <w:r w:rsidR="00C02634" w:rsidRPr="00D9488A">
        <w:rPr>
          <w:rFonts w:eastAsia="Times New Roman" w:cs="Times New Roman"/>
          <w:szCs w:val="20"/>
          <w:lang w:val="hr-HR" w:eastAsia="en-GB"/>
        </w:rPr>
        <w:t>d</w:t>
      </w:r>
      <w:r w:rsidRPr="00D9488A">
        <w:rPr>
          <w:rFonts w:eastAsia="Times New Roman" w:cs="Times New Roman"/>
          <w:szCs w:val="20"/>
          <w:lang w:val="hr-HR" w:eastAsia="en-GB"/>
        </w:rPr>
        <w:t xml:space="preserve">irektiva stupa na snagu dvadesetog dana od dana objave u </w:t>
      </w:r>
      <w:r w:rsidR="00C279F7" w:rsidRPr="00D9488A">
        <w:rPr>
          <w:rFonts w:eastAsia="Times New Roman" w:cs="Times New Roman"/>
          <w:szCs w:val="20"/>
          <w:lang w:val="hr-HR" w:eastAsia="en-GB"/>
        </w:rPr>
        <w:t>„Službenom listu Evropske unije”</w:t>
      </w:r>
      <w:r w:rsidRPr="00D9488A">
        <w:rPr>
          <w:rFonts w:eastAsia="Times New Roman" w:cs="Times New Roman"/>
          <w:szCs w:val="20"/>
          <w:lang w:val="hr-HR" w:eastAsia="en-GB"/>
        </w:rPr>
        <w:t>.</w:t>
      </w:r>
    </w:p>
    <w:p w:rsidR="008F3737" w:rsidRPr="00D9488A" w:rsidRDefault="008F3737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Član 10.</w:t>
      </w:r>
    </w:p>
    <w:p w:rsidR="00006EA5" w:rsidRPr="00D9488A" w:rsidRDefault="00006EA5" w:rsidP="008F3737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Adresati</w:t>
      </w:r>
    </w:p>
    <w:p w:rsidR="008F3737" w:rsidRPr="00D9488A" w:rsidRDefault="008F3737" w:rsidP="008F3737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Ova </w:t>
      </w:r>
      <w:r w:rsidR="00CB0DF4" w:rsidRPr="00D9488A">
        <w:rPr>
          <w:rFonts w:eastAsia="Times New Roman" w:cs="Times New Roman"/>
          <w:szCs w:val="20"/>
          <w:lang w:val="hr-HR" w:eastAsia="en-GB"/>
        </w:rPr>
        <w:t>d</w:t>
      </w:r>
      <w:r w:rsidRPr="00D9488A">
        <w:rPr>
          <w:rFonts w:eastAsia="Times New Roman" w:cs="Times New Roman"/>
          <w:szCs w:val="20"/>
          <w:lang w:val="hr-HR" w:eastAsia="en-GB"/>
        </w:rPr>
        <w:t xml:space="preserve">irektiva </w:t>
      </w:r>
      <w:r w:rsidR="00CB0DF4" w:rsidRPr="00D9488A">
        <w:rPr>
          <w:rFonts w:eastAsia="Times New Roman" w:cs="Times New Roman"/>
          <w:szCs w:val="20"/>
          <w:lang w:val="hr-HR" w:eastAsia="en-GB"/>
        </w:rPr>
        <w:t xml:space="preserve">je </w:t>
      </w:r>
      <w:r w:rsidRPr="00D9488A">
        <w:rPr>
          <w:rFonts w:eastAsia="Times New Roman" w:cs="Times New Roman"/>
          <w:szCs w:val="20"/>
          <w:lang w:val="hr-HR" w:eastAsia="en-GB"/>
        </w:rPr>
        <w:t>upućena državama članicama.</w:t>
      </w:r>
    </w:p>
    <w:p w:rsidR="008F3737" w:rsidRPr="00D9488A" w:rsidRDefault="008F3737" w:rsidP="008F3737">
      <w:pPr>
        <w:rPr>
          <w:rFonts w:eastAsia="Times New Roman" w:cs="Times New Roman"/>
          <w:szCs w:val="20"/>
          <w:lang w:val="hr-HR" w:eastAsia="en-GB"/>
        </w:rPr>
      </w:pPr>
    </w:p>
    <w:p w:rsidR="007951E8" w:rsidRPr="00D9488A" w:rsidRDefault="007951E8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Sa</w:t>
      </w:r>
      <w:r w:rsidR="00A52F37" w:rsidRPr="00D9488A">
        <w:rPr>
          <w:rFonts w:eastAsia="Times New Roman" w:cs="Times New Roman"/>
          <w:szCs w:val="20"/>
          <w:lang w:val="hr-HR" w:eastAsia="en-GB"/>
        </w:rPr>
        <w:t>činjeno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 Lu</w:t>
      </w:r>
      <w:r w:rsidR="008F3737" w:rsidRPr="00D9488A">
        <w:rPr>
          <w:rFonts w:eastAsia="Times New Roman" w:cs="Times New Roman"/>
          <w:szCs w:val="20"/>
          <w:lang w:val="hr-HR" w:eastAsia="en-GB"/>
        </w:rPr>
        <w:t>ks</w:t>
      </w:r>
      <w:r w:rsidRPr="00D9488A">
        <w:rPr>
          <w:rFonts w:eastAsia="Times New Roman" w:cs="Times New Roman"/>
          <w:szCs w:val="20"/>
          <w:lang w:val="hr-HR" w:eastAsia="en-GB"/>
        </w:rPr>
        <w:t>emburgu</w:t>
      </w:r>
      <w:r w:rsidR="008F3737" w:rsidRPr="00D9488A">
        <w:rPr>
          <w:rFonts w:eastAsia="Times New Roman" w:cs="Times New Roman"/>
          <w:szCs w:val="20"/>
          <w:lang w:val="hr-HR" w:eastAsia="en-GB"/>
        </w:rPr>
        <w:t>,</w:t>
      </w:r>
      <w:r w:rsidRPr="00D9488A">
        <w:rPr>
          <w:rFonts w:eastAsia="Times New Roman" w:cs="Times New Roman"/>
          <w:szCs w:val="20"/>
          <w:lang w:val="hr-HR" w:eastAsia="en-GB"/>
        </w:rPr>
        <w:t xml:space="preserve"> 22. </w:t>
      </w:r>
      <w:r w:rsidR="008F3737" w:rsidRPr="00D9488A">
        <w:rPr>
          <w:rFonts w:eastAsia="Times New Roman" w:cs="Times New Roman"/>
          <w:szCs w:val="20"/>
          <w:lang w:val="hr-HR" w:eastAsia="en-GB"/>
        </w:rPr>
        <w:t>oktobra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2013.</w:t>
      </w:r>
      <w:r w:rsidR="003E4043">
        <w:rPr>
          <w:rFonts w:eastAsia="Times New Roman" w:cs="Times New Roman"/>
          <w:szCs w:val="20"/>
          <w:lang w:val="hr-HR" w:eastAsia="en-GB"/>
        </w:rPr>
        <w:t xml:space="preserve"> godine</w:t>
      </w:r>
    </w:p>
    <w:p w:rsidR="008F3737" w:rsidRPr="00D9488A" w:rsidRDefault="008F3737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7951E8" w:rsidP="007951E8">
      <w:pPr>
        <w:ind w:left="6480" w:firstLine="720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  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Za Vijeće </w:t>
      </w:r>
    </w:p>
    <w:p w:rsidR="008F3737" w:rsidRPr="00D9488A" w:rsidRDefault="008F3737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7951E8">
      <w:pPr>
        <w:ind w:left="6480" w:firstLine="720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Predsjednik </w:t>
      </w:r>
    </w:p>
    <w:p w:rsidR="00006EA5" w:rsidRPr="00D9488A" w:rsidRDefault="007951E8" w:rsidP="007951E8">
      <w:pPr>
        <w:ind w:left="6480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       </w:t>
      </w:r>
      <w:r w:rsidR="00006EA5" w:rsidRPr="00D9488A">
        <w:rPr>
          <w:rFonts w:eastAsia="Times New Roman" w:cs="Times New Roman"/>
          <w:szCs w:val="20"/>
          <w:lang w:val="hr-HR" w:eastAsia="en-GB"/>
        </w:rPr>
        <w:t>L. LINKEVIČIUS</w:t>
      </w:r>
    </w:p>
    <w:p w:rsidR="005F4B0F" w:rsidRPr="00D9488A" w:rsidRDefault="005F4B0F">
      <w:pPr>
        <w:spacing w:after="200" w:line="276" w:lineRule="auto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br w:type="page"/>
      </w:r>
    </w:p>
    <w:p w:rsidR="00006EA5" w:rsidRPr="00D9488A" w:rsidRDefault="002B4384" w:rsidP="002B4384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lastRenderedPageBreak/>
        <w:t>ANEKS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I</w:t>
      </w:r>
    </w:p>
    <w:p w:rsidR="002B4384" w:rsidRPr="00D9488A" w:rsidRDefault="002B4384" w:rsidP="002B4384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B4384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 xml:space="preserve">VRIJEDNOSTI PARAMETARA ZA RADON, TRICIJ I ID VODE </w:t>
      </w:r>
      <w:r w:rsidR="002B4384" w:rsidRPr="00D9488A">
        <w:rPr>
          <w:rFonts w:eastAsia="Times New Roman" w:cs="Times New Roman"/>
          <w:b/>
          <w:szCs w:val="20"/>
          <w:lang w:val="hr-HR" w:eastAsia="en-GB"/>
        </w:rPr>
        <w:br/>
      </w:r>
      <w:r w:rsidRPr="00D9488A">
        <w:rPr>
          <w:rFonts w:eastAsia="Times New Roman" w:cs="Times New Roman"/>
          <w:b/>
          <w:szCs w:val="20"/>
          <w:lang w:val="hr-HR" w:eastAsia="en-GB"/>
        </w:rPr>
        <w:t>NAMIJENJENE ZA LJUDSKU POTROŠNJU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tbl>
      <w:tblPr>
        <w:tblW w:w="4165" w:type="pct"/>
        <w:jc w:val="center"/>
        <w:tblCellSpacing w:w="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6"/>
        <w:gridCol w:w="2766"/>
        <w:gridCol w:w="1130"/>
        <w:gridCol w:w="2119"/>
      </w:tblGrid>
      <w:tr w:rsidR="002B4384" w:rsidRPr="00D9488A" w:rsidTr="009E6482">
        <w:trPr>
          <w:tblCellSpacing w:w="0" w:type="dxa"/>
          <w:jc w:val="center"/>
        </w:trPr>
        <w:tc>
          <w:tcPr>
            <w:tcW w:w="881" w:type="pct"/>
            <w:tcBorders>
              <w:right w:val="single" w:sz="4" w:space="0" w:color="auto"/>
            </w:tcBorders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Parametar</w:t>
            </w:r>
          </w:p>
        </w:tc>
        <w:tc>
          <w:tcPr>
            <w:tcW w:w="18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EA5" w:rsidRPr="00D9488A" w:rsidRDefault="00006EA5" w:rsidP="005F52A9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Vrijednost parametra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EA5" w:rsidRPr="00D9488A" w:rsidRDefault="00006EA5" w:rsidP="002B4384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Jedinica</w:t>
            </w:r>
          </w:p>
        </w:tc>
        <w:tc>
          <w:tcPr>
            <w:tcW w:w="1452" w:type="pct"/>
            <w:tcBorders>
              <w:left w:val="single" w:sz="4" w:space="0" w:color="auto"/>
            </w:tcBorders>
            <w:hideMark/>
          </w:tcPr>
          <w:p w:rsidR="00006EA5" w:rsidRPr="00D9488A" w:rsidRDefault="00006EA5" w:rsidP="002B4384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Napomene</w:t>
            </w:r>
          </w:p>
        </w:tc>
      </w:tr>
      <w:tr w:rsidR="002B4384" w:rsidRPr="00D9488A" w:rsidTr="009E6482">
        <w:trPr>
          <w:tblCellSpacing w:w="0" w:type="dxa"/>
          <w:jc w:val="center"/>
        </w:trPr>
        <w:tc>
          <w:tcPr>
            <w:tcW w:w="881" w:type="pct"/>
            <w:tcBorders>
              <w:right w:val="single" w:sz="4" w:space="0" w:color="auto"/>
            </w:tcBorders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Radon</w:t>
            </w:r>
          </w:p>
        </w:tc>
        <w:tc>
          <w:tcPr>
            <w:tcW w:w="18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EA5" w:rsidRPr="00D9488A" w:rsidRDefault="00006EA5" w:rsidP="002B4384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100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EA5" w:rsidRPr="00D9488A" w:rsidRDefault="00006EA5" w:rsidP="009E648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Bq/</w:t>
            </w:r>
            <w:r w:rsidR="009E648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  <w:tc>
          <w:tcPr>
            <w:tcW w:w="1452" w:type="pct"/>
            <w:tcBorders>
              <w:left w:val="single" w:sz="4" w:space="0" w:color="auto"/>
            </w:tcBorders>
            <w:hideMark/>
          </w:tcPr>
          <w:p w:rsidR="00006EA5" w:rsidRPr="00D9488A" w:rsidRDefault="00006EA5" w:rsidP="005F52A9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(Napomena 1)</w:t>
            </w:r>
          </w:p>
        </w:tc>
      </w:tr>
      <w:tr w:rsidR="002B4384" w:rsidRPr="00D9488A" w:rsidTr="009E6482">
        <w:trPr>
          <w:tblCellSpacing w:w="0" w:type="dxa"/>
          <w:jc w:val="center"/>
        </w:trPr>
        <w:tc>
          <w:tcPr>
            <w:tcW w:w="881" w:type="pct"/>
            <w:tcBorders>
              <w:right w:val="single" w:sz="4" w:space="0" w:color="auto"/>
            </w:tcBorders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Tricij</w:t>
            </w:r>
          </w:p>
        </w:tc>
        <w:tc>
          <w:tcPr>
            <w:tcW w:w="18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EA5" w:rsidRPr="00D9488A" w:rsidRDefault="00006EA5" w:rsidP="002B4384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100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EA5" w:rsidRPr="00D9488A" w:rsidRDefault="00006EA5" w:rsidP="002B4384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Bq/</w:t>
            </w:r>
            <w:r w:rsidR="009E648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  <w:tc>
          <w:tcPr>
            <w:tcW w:w="1452" w:type="pct"/>
            <w:tcBorders>
              <w:left w:val="single" w:sz="4" w:space="0" w:color="auto"/>
            </w:tcBorders>
            <w:hideMark/>
          </w:tcPr>
          <w:p w:rsidR="00006EA5" w:rsidRPr="00D9488A" w:rsidRDefault="00006EA5" w:rsidP="005F52A9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(Napomena 2)</w:t>
            </w:r>
          </w:p>
        </w:tc>
      </w:tr>
      <w:tr w:rsidR="002B4384" w:rsidRPr="00D9488A" w:rsidTr="009E6482">
        <w:trPr>
          <w:tblCellSpacing w:w="0" w:type="dxa"/>
          <w:jc w:val="center"/>
        </w:trPr>
        <w:tc>
          <w:tcPr>
            <w:tcW w:w="881" w:type="pct"/>
            <w:tcBorders>
              <w:right w:val="single" w:sz="4" w:space="0" w:color="auto"/>
            </w:tcBorders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ID</w:t>
            </w:r>
          </w:p>
        </w:tc>
        <w:tc>
          <w:tcPr>
            <w:tcW w:w="189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EA5" w:rsidRPr="00D9488A" w:rsidRDefault="00006EA5" w:rsidP="002B4384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0,10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6EA5" w:rsidRPr="00D9488A" w:rsidRDefault="00006EA5" w:rsidP="002B4384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mSv</w:t>
            </w:r>
          </w:p>
        </w:tc>
        <w:tc>
          <w:tcPr>
            <w:tcW w:w="1452" w:type="pct"/>
            <w:tcBorders>
              <w:left w:val="single" w:sz="4" w:space="0" w:color="auto"/>
            </w:tcBorders>
            <w:hideMark/>
          </w:tcPr>
          <w:p w:rsidR="00006EA5" w:rsidRPr="00D9488A" w:rsidRDefault="00006EA5" w:rsidP="002B4384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</w:tr>
    </w:tbl>
    <w:p w:rsidR="002B4384" w:rsidRPr="00D9488A" w:rsidRDefault="002B4384">
      <w:pPr>
        <w:rPr>
          <w:lang w:val="hr-HR"/>
        </w:rPr>
      </w:pPr>
    </w:p>
    <w:p w:rsidR="002B4384" w:rsidRPr="00D9488A" w:rsidRDefault="002B4384" w:rsidP="002B4384">
      <w:pPr>
        <w:ind w:firstLine="567"/>
        <w:rPr>
          <w:lang w:val="hr-HR"/>
        </w:rPr>
      </w:pPr>
      <w:r w:rsidRPr="00D9488A">
        <w:rPr>
          <w:lang w:val="hr-HR"/>
        </w:rPr>
        <w:t>Napomena 1:</w:t>
      </w:r>
    </w:p>
    <w:p w:rsidR="002B4384" w:rsidRPr="00D9488A" w:rsidRDefault="002B4384">
      <w:pPr>
        <w:rPr>
          <w:lang w:val="hr-HR"/>
        </w:rPr>
      </w:pPr>
    </w:p>
    <w:tbl>
      <w:tblPr>
        <w:tblStyle w:val="TableGrid"/>
        <w:tblW w:w="822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7790"/>
      </w:tblGrid>
      <w:tr w:rsidR="002B4384" w:rsidRPr="00D9488A" w:rsidTr="00DA3447">
        <w:tc>
          <w:tcPr>
            <w:tcW w:w="432" w:type="dxa"/>
          </w:tcPr>
          <w:p w:rsidR="002B4384" w:rsidRPr="00D9488A" w:rsidRDefault="002B4384">
            <w:pPr>
              <w:rPr>
                <w:lang w:val="hr-HR"/>
              </w:rPr>
            </w:pPr>
            <w:r w:rsidRPr="00D9488A">
              <w:rPr>
                <w:lang w:val="hr-HR"/>
              </w:rPr>
              <w:t>a)</w:t>
            </w:r>
          </w:p>
        </w:tc>
        <w:tc>
          <w:tcPr>
            <w:tcW w:w="7790" w:type="dxa"/>
          </w:tcPr>
          <w:p w:rsidR="002B4384" w:rsidRPr="00D9488A" w:rsidRDefault="002B4384" w:rsidP="005C27B6">
            <w:pPr>
              <w:jc w:val="both"/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Države članice mogu utvrditi </w:t>
            </w:r>
            <w:r w:rsidR="005F52A9" w:rsidRPr="00D9488A">
              <w:rPr>
                <w:rFonts w:eastAsia="Times New Roman" w:cs="Times New Roman"/>
                <w:szCs w:val="20"/>
                <w:lang w:val="hr-HR" w:eastAsia="en-GB"/>
              </w:rPr>
              <w:t>nivo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za radon za koj</w:t>
            </w:r>
            <w:r w:rsidR="005F52A9" w:rsidRPr="00D9488A">
              <w:rPr>
                <w:rFonts w:eastAsia="Times New Roman" w:cs="Times New Roman"/>
                <w:szCs w:val="20"/>
                <w:lang w:val="hr-HR" w:eastAsia="en-GB"/>
              </w:rPr>
              <w:t>i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5F52A9" w:rsidRPr="00D9488A">
              <w:rPr>
                <w:rFonts w:eastAsia="Times New Roman" w:cs="Times New Roman"/>
                <w:szCs w:val="20"/>
                <w:lang w:val="hr-HR" w:eastAsia="en-GB"/>
              </w:rPr>
              <w:t>s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e procijen</w:t>
            </w:r>
            <w:r w:rsidR="005F52A9" w:rsidRPr="00D9488A">
              <w:rPr>
                <w:rFonts w:eastAsia="Times New Roman" w:cs="Times New Roman"/>
                <w:szCs w:val="20"/>
                <w:lang w:val="hr-HR" w:eastAsia="en-GB"/>
              </w:rPr>
              <w:t>i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da </w:t>
            </w:r>
            <w:r w:rsidR="005C27B6">
              <w:rPr>
                <w:rFonts w:eastAsia="Times New Roman" w:cs="Times New Roman"/>
                <w:szCs w:val="20"/>
                <w:lang w:val="hr-HR" w:eastAsia="en-GB"/>
              </w:rPr>
              <w:t>j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e </w:t>
            </w:r>
            <w:r w:rsidR="005C27B6">
              <w:rPr>
                <w:rFonts w:eastAsia="Times New Roman" w:cs="Times New Roman"/>
                <w:szCs w:val="20"/>
                <w:lang w:val="hr-HR" w:eastAsia="en-GB"/>
              </w:rPr>
              <w:t>njegov prelazak neprimjeren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i ispod koje</w:t>
            </w:r>
            <w:r w:rsidR="005F52A9" w:rsidRPr="00D9488A">
              <w:rPr>
                <w:rFonts w:eastAsia="Times New Roman" w:cs="Times New Roman"/>
                <w:szCs w:val="20"/>
                <w:lang w:val="hr-HR" w:eastAsia="en-GB"/>
              </w:rPr>
              <w:t>g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bi se trebala nastaviti optimizacija zaštite, bez ugrožavanja snabdijevanja vodom na državnom ili regionalnom nivou. Nivo kojeg utvr</w:t>
            </w:r>
            <w:r w:rsidR="009E6482" w:rsidRPr="00D9488A">
              <w:rPr>
                <w:rFonts w:eastAsia="Times New Roman" w:cs="Times New Roman"/>
                <w:szCs w:val="20"/>
                <w:lang w:val="hr-HR" w:eastAsia="en-GB"/>
              </w:rPr>
              <w:t>di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država članica može biti viši od 100 Bq/</w:t>
            </w:r>
            <w:r w:rsidR="009E648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, ali niži od 1.000 Bq/</w:t>
            </w:r>
            <w:r w:rsidR="009E648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. </w:t>
            </w:r>
            <w:r w:rsidR="005F52A9" w:rsidRPr="00D9488A">
              <w:rPr>
                <w:rFonts w:eastAsia="Times New Roman" w:cs="Times New Roman"/>
                <w:szCs w:val="20"/>
                <w:lang w:val="hr-HR" w:eastAsia="en-GB"/>
              </w:rPr>
              <w:t>Da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bi pojednostavil</w:t>
            </w:r>
            <w:r w:rsidR="005F52A9" w:rsidRPr="00D9488A">
              <w:rPr>
                <w:rFonts w:eastAsia="Times New Roman" w:cs="Times New Roman"/>
                <w:szCs w:val="20"/>
                <w:lang w:val="hr-HR" w:eastAsia="en-GB"/>
              </w:rPr>
              <w:t>a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zakonodavstvo države, država članica može odlučiti </w:t>
            </w:r>
            <w:r w:rsidR="009E6482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da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prilagoditi vrijednost parametra ovo</w:t>
            </w:r>
            <w:r w:rsidR="005F52A9" w:rsidRPr="00D9488A">
              <w:rPr>
                <w:rFonts w:eastAsia="Times New Roman" w:cs="Times New Roman"/>
                <w:szCs w:val="20"/>
                <w:lang w:val="hr-HR" w:eastAsia="en-GB"/>
              </w:rPr>
              <w:t>m nivou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.</w:t>
            </w:r>
          </w:p>
        </w:tc>
      </w:tr>
      <w:tr w:rsidR="002B4384" w:rsidRPr="00D9488A" w:rsidTr="00DA3447">
        <w:tc>
          <w:tcPr>
            <w:tcW w:w="432" w:type="dxa"/>
          </w:tcPr>
          <w:p w:rsidR="002B4384" w:rsidRPr="00D9488A" w:rsidRDefault="002B4384">
            <w:pPr>
              <w:rPr>
                <w:lang w:val="hr-HR"/>
              </w:rPr>
            </w:pPr>
            <w:r w:rsidRPr="00D9488A">
              <w:rPr>
                <w:lang w:val="hr-HR"/>
              </w:rPr>
              <w:t>b)</w:t>
            </w:r>
          </w:p>
        </w:tc>
        <w:tc>
          <w:tcPr>
            <w:tcW w:w="7790" w:type="dxa"/>
          </w:tcPr>
          <w:p w:rsidR="002B4384" w:rsidRPr="00D9488A" w:rsidRDefault="005F52A9" w:rsidP="009E6482">
            <w:pPr>
              <w:jc w:val="both"/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Mjere sanacije</w:t>
            </w:r>
            <w:r w:rsidR="002B4384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se smatraju opravdanim po osnovu</w:t>
            </w:r>
            <w:r w:rsidR="002B4384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zaštit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e</w:t>
            </w:r>
            <w:r w:rsidR="002B4384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od zračenja</w:t>
            </w:r>
            <w:r w:rsidR="009E6482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i</w:t>
            </w:r>
            <w:r w:rsidR="002B4384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bez daljeg razmatranja kada koncentracije radona prelaze 1.000 Bq/</w:t>
            </w:r>
            <w:r w:rsidR="009E648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  <w:r w:rsidR="002B4384" w:rsidRPr="00D9488A">
              <w:rPr>
                <w:rFonts w:eastAsia="Times New Roman" w:cs="Times New Roman"/>
                <w:szCs w:val="20"/>
                <w:lang w:val="hr-HR" w:eastAsia="en-GB"/>
              </w:rPr>
              <w:t>.</w:t>
            </w:r>
          </w:p>
        </w:tc>
      </w:tr>
    </w:tbl>
    <w:p w:rsidR="002B4384" w:rsidRPr="00D9488A" w:rsidRDefault="002B4384" w:rsidP="002B4384">
      <w:pPr>
        <w:ind w:firstLine="567"/>
        <w:rPr>
          <w:lang w:val="hr-HR"/>
        </w:rPr>
      </w:pPr>
    </w:p>
    <w:p w:rsidR="002B4384" w:rsidRPr="00D9488A" w:rsidRDefault="002B4384" w:rsidP="002B4384">
      <w:pPr>
        <w:ind w:firstLine="567"/>
        <w:rPr>
          <w:lang w:val="hr-HR"/>
        </w:rPr>
      </w:pPr>
      <w:r w:rsidRPr="00D9488A">
        <w:rPr>
          <w:lang w:val="hr-HR"/>
        </w:rPr>
        <w:t>Napomena 2:</w:t>
      </w:r>
      <w:r w:rsidRPr="00D9488A">
        <w:rPr>
          <w:rFonts w:eastAsia="Times New Roman" w:cs="Times New Roman"/>
          <w:szCs w:val="20"/>
          <w:lang w:val="hr-HR" w:eastAsia="en-GB"/>
        </w:rPr>
        <w:t xml:space="preserve"> Povišeni nivoi tricija mogu ukazivati na prisustvo drugih vještačkih</w:t>
      </w:r>
    </w:p>
    <w:p w:rsidR="002B4384" w:rsidRPr="00D9488A" w:rsidRDefault="002B4384" w:rsidP="002B4384">
      <w:pPr>
        <w:tabs>
          <w:tab w:val="left" w:pos="1985"/>
        </w:tabs>
        <w:jc w:val="both"/>
        <w:rPr>
          <w:lang w:val="hr-HR"/>
        </w:rPr>
      </w:pPr>
      <w:r w:rsidRPr="00D9488A">
        <w:rPr>
          <w:rFonts w:eastAsia="Times New Roman" w:cs="Times New Roman"/>
          <w:szCs w:val="20"/>
          <w:lang w:val="hr-HR" w:eastAsia="en-GB"/>
        </w:rPr>
        <w:tab/>
        <w:t xml:space="preserve">radionuklida. Ako koncentracija tricija prelazi svoju vrijednost </w:t>
      </w:r>
      <w:r w:rsidRPr="00D9488A">
        <w:rPr>
          <w:rFonts w:eastAsia="Times New Roman" w:cs="Times New Roman"/>
          <w:szCs w:val="20"/>
          <w:lang w:val="hr-HR" w:eastAsia="en-GB"/>
        </w:rPr>
        <w:tab/>
        <w:t>parametra, potrebna je analiza prisustv</w:t>
      </w:r>
      <w:r w:rsidR="00FB56E6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drugih vještačkih </w:t>
      </w:r>
      <w:r w:rsidRPr="00D9488A">
        <w:rPr>
          <w:rFonts w:eastAsia="Times New Roman" w:cs="Times New Roman"/>
          <w:szCs w:val="20"/>
          <w:lang w:val="hr-HR" w:eastAsia="en-GB"/>
        </w:rPr>
        <w:tab/>
        <w:t>radionuklida.</w:t>
      </w:r>
    </w:p>
    <w:p w:rsidR="002B4384" w:rsidRPr="00D9488A" w:rsidRDefault="002B4384">
      <w:pPr>
        <w:rPr>
          <w:lang w:val="hr-HR"/>
        </w:rPr>
      </w:pPr>
    </w:p>
    <w:p w:rsidR="002B4384" w:rsidRPr="00D9488A" w:rsidRDefault="002B4384">
      <w:pPr>
        <w:spacing w:after="200" w:line="276" w:lineRule="auto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br w:type="page"/>
      </w:r>
    </w:p>
    <w:p w:rsidR="00006EA5" w:rsidRPr="00D9488A" w:rsidRDefault="002B4384" w:rsidP="002B4384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lastRenderedPageBreak/>
        <w:t>ANEKS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II</w:t>
      </w:r>
    </w:p>
    <w:p w:rsidR="002B4384" w:rsidRPr="00D9488A" w:rsidRDefault="002B4384" w:rsidP="002B4384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C62986" w:rsidP="002B4384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MONITORING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 xml:space="preserve"> RADIOAKTIVNIH </w:t>
      </w:r>
      <w:r w:rsidR="0044714C" w:rsidRPr="00D9488A">
        <w:rPr>
          <w:rFonts w:eastAsia="Times New Roman" w:cs="Times New Roman"/>
          <w:b/>
          <w:szCs w:val="20"/>
          <w:lang w:val="hr-HR" w:eastAsia="en-GB"/>
        </w:rPr>
        <w:t>SUPS</w:t>
      </w:r>
      <w:r w:rsidR="002B4384" w:rsidRPr="00D9488A">
        <w:rPr>
          <w:rFonts w:eastAsia="Times New Roman" w:cs="Times New Roman"/>
          <w:b/>
          <w:szCs w:val="20"/>
          <w:lang w:val="hr-HR" w:eastAsia="en-GB"/>
        </w:rPr>
        <w:t>T</w:t>
      </w:r>
      <w:r w:rsidR="0044714C" w:rsidRPr="00D9488A">
        <w:rPr>
          <w:rFonts w:eastAsia="Times New Roman" w:cs="Times New Roman"/>
          <w:b/>
          <w:szCs w:val="20"/>
          <w:lang w:val="hr-HR" w:eastAsia="en-GB"/>
        </w:rPr>
        <w:t>A</w:t>
      </w:r>
      <w:r w:rsidR="002B4384" w:rsidRPr="00D9488A">
        <w:rPr>
          <w:rFonts w:eastAsia="Times New Roman" w:cs="Times New Roman"/>
          <w:b/>
          <w:szCs w:val="20"/>
          <w:lang w:val="hr-HR" w:eastAsia="en-GB"/>
        </w:rPr>
        <w:t>NCI</w:t>
      </w:r>
    </w:p>
    <w:p w:rsidR="002B4384" w:rsidRPr="00D9488A" w:rsidRDefault="002B4384" w:rsidP="002B4384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1.   Op</w:t>
      </w:r>
      <w:r w:rsidR="005F52A9" w:rsidRPr="00D9488A">
        <w:rPr>
          <w:rFonts w:eastAsia="Times New Roman" w:cs="Times New Roman"/>
          <w:szCs w:val="20"/>
          <w:lang w:val="hr-HR" w:eastAsia="en-GB"/>
        </w:rPr>
        <w:t>št</w:t>
      </w:r>
      <w:r w:rsidR="009E6482" w:rsidRPr="00D9488A">
        <w:rPr>
          <w:rFonts w:eastAsia="Times New Roman" w:cs="Times New Roman"/>
          <w:szCs w:val="20"/>
          <w:lang w:val="hr-HR" w:eastAsia="en-GB"/>
        </w:rPr>
        <w:t>i principi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 učestalost </w:t>
      </w:r>
      <w:r w:rsidR="00C62986" w:rsidRPr="00D9488A">
        <w:rPr>
          <w:rFonts w:eastAsia="Times New Roman" w:cs="Times New Roman"/>
          <w:szCs w:val="20"/>
          <w:lang w:val="hr-HR" w:eastAsia="en-GB"/>
        </w:rPr>
        <w:t>monitoringa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B43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Svi parametri za koje se vrijednosti moraju odrediti u skladu s</w:t>
      </w:r>
      <w:r w:rsidR="00C62986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članom 5 stav 1. podliježu </w:t>
      </w:r>
      <w:r w:rsidR="00C62986" w:rsidRPr="00D9488A">
        <w:rPr>
          <w:rFonts w:eastAsia="Times New Roman" w:cs="Times New Roman"/>
          <w:szCs w:val="20"/>
          <w:lang w:val="hr-HR" w:eastAsia="en-GB"/>
        </w:rPr>
        <w:t>monitoring</w:t>
      </w:r>
      <w:r w:rsidR="003F4432" w:rsidRPr="00D9488A">
        <w:rPr>
          <w:rFonts w:eastAsia="Times New Roman" w:cs="Times New Roman"/>
          <w:szCs w:val="20"/>
          <w:lang w:val="hr-HR" w:eastAsia="en-GB"/>
        </w:rPr>
        <w:t>u</w:t>
      </w:r>
      <w:r w:rsidRPr="00D9488A">
        <w:rPr>
          <w:rFonts w:eastAsia="Times New Roman" w:cs="Times New Roman"/>
          <w:szCs w:val="20"/>
          <w:lang w:val="hr-HR" w:eastAsia="en-GB"/>
        </w:rPr>
        <w:t>. Međutim, ne zahtijeva se</w:t>
      </w:r>
      <w:r w:rsidR="00C62986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9E6482" w:rsidRPr="00D9488A">
        <w:rPr>
          <w:rFonts w:eastAsia="Times New Roman" w:cs="Times New Roman"/>
          <w:szCs w:val="20"/>
          <w:lang w:val="hr-HR" w:eastAsia="en-GB"/>
        </w:rPr>
        <w:t xml:space="preserve">nikakav </w:t>
      </w:r>
      <w:r w:rsidR="00C62986" w:rsidRPr="00D9488A">
        <w:rPr>
          <w:rFonts w:eastAsia="Times New Roman" w:cs="Times New Roman"/>
          <w:szCs w:val="20"/>
          <w:lang w:val="hr-HR" w:eastAsia="en-GB"/>
        </w:rPr>
        <w:t>monitoring</w:t>
      </w:r>
      <w:r w:rsidRPr="00D9488A">
        <w:rPr>
          <w:rFonts w:eastAsia="Times New Roman" w:cs="Times New Roman"/>
          <w:szCs w:val="20"/>
          <w:lang w:val="hr-HR" w:eastAsia="en-GB"/>
        </w:rPr>
        <w:t xml:space="preserve"> određenog parametra ako nadležn</w:t>
      </w:r>
      <w:r w:rsidR="00C62986" w:rsidRPr="00D9488A">
        <w:rPr>
          <w:rFonts w:eastAsia="Times New Roman" w:cs="Times New Roman"/>
          <w:szCs w:val="20"/>
          <w:lang w:val="hr-HR" w:eastAsia="en-GB"/>
        </w:rPr>
        <w:t>i organ</w:t>
      </w:r>
      <w:r w:rsidRPr="00D9488A">
        <w:rPr>
          <w:rFonts w:eastAsia="Times New Roman" w:cs="Times New Roman"/>
          <w:szCs w:val="20"/>
          <w:lang w:val="hr-HR" w:eastAsia="en-GB"/>
        </w:rPr>
        <w:t xml:space="preserve"> može utvrditi da t</w:t>
      </w:r>
      <w:r w:rsidR="00C62986" w:rsidRPr="00D9488A">
        <w:rPr>
          <w:rFonts w:eastAsia="Times New Roman" w:cs="Times New Roman"/>
          <w:szCs w:val="20"/>
          <w:lang w:val="hr-HR" w:eastAsia="en-GB"/>
        </w:rPr>
        <w:t>okom perioda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koje</w:t>
      </w:r>
      <w:r w:rsidR="00C62986" w:rsidRPr="00D9488A">
        <w:rPr>
          <w:rFonts w:eastAsia="Times New Roman" w:cs="Times New Roman"/>
          <w:szCs w:val="20"/>
          <w:lang w:val="hr-HR" w:eastAsia="en-GB"/>
        </w:rPr>
        <w:t>g</w:t>
      </w:r>
      <w:r w:rsidRPr="00D9488A">
        <w:rPr>
          <w:rFonts w:eastAsia="Times New Roman" w:cs="Times New Roman"/>
          <w:szCs w:val="20"/>
          <w:lang w:val="hr-HR" w:eastAsia="en-GB"/>
        </w:rPr>
        <w:t xml:space="preserve"> on odredi taj parametar vjero</w:t>
      </w:r>
      <w:r w:rsidR="00855A3D" w:rsidRPr="00D9488A">
        <w:rPr>
          <w:rFonts w:eastAsia="Times New Roman" w:cs="Times New Roman"/>
          <w:szCs w:val="20"/>
          <w:lang w:val="hr-HR" w:eastAsia="en-GB"/>
        </w:rPr>
        <w:t>v</w:t>
      </w:r>
      <w:r w:rsidRPr="00D9488A">
        <w:rPr>
          <w:rFonts w:eastAsia="Times New Roman" w:cs="Times New Roman"/>
          <w:szCs w:val="20"/>
          <w:lang w:val="hr-HR" w:eastAsia="en-GB"/>
        </w:rPr>
        <w:t xml:space="preserve">atno neće biti prisutan u </w:t>
      </w:r>
      <w:r w:rsidR="00C62986" w:rsidRPr="00D9488A">
        <w:rPr>
          <w:rFonts w:eastAsia="Times New Roman" w:cs="Times New Roman"/>
          <w:szCs w:val="20"/>
          <w:lang w:val="hr-HR" w:eastAsia="en-GB"/>
        </w:rPr>
        <w:t>dato</w:t>
      </w:r>
      <w:r w:rsidR="003F4432" w:rsidRPr="00D9488A">
        <w:rPr>
          <w:rFonts w:eastAsia="Times New Roman" w:cs="Times New Roman"/>
          <w:szCs w:val="20"/>
          <w:lang w:val="hr-HR" w:eastAsia="en-GB"/>
        </w:rPr>
        <w:t>j količini</w:t>
      </w:r>
      <w:r w:rsidR="00C62986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Pr="00D9488A">
        <w:rPr>
          <w:rFonts w:eastAsia="Times New Roman" w:cs="Times New Roman"/>
          <w:szCs w:val="20"/>
          <w:lang w:val="hr-HR" w:eastAsia="en-GB"/>
        </w:rPr>
        <w:t>vod</w:t>
      </w:r>
      <w:r w:rsidR="003F4432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namijenjen</w:t>
      </w:r>
      <w:r w:rsidR="003F4432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za ljudsku potrošnju u koncentracijama koje bi mogle pre</w:t>
      </w:r>
      <w:r w:rsidR="00C62986" w:rsidRPr="00D9488A">
        <w:rPr>
          <w:rFonts w:eastAsia="Times New Roman" w:cs="Times New Roman"/>
          <w:szCs w:val="20"/>
          <w:lang w:val="hr-HR" w:eastAsia="en-GB"/>
        </w:rPr>
        <w:t>laziti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odgovarajuću vrijednost </w:t>
      </w:r>
      <w:r w:rsidR="009E6482" w:rsidRPr="00D9488A">
        <w:rPr>
          <w:rFonts w:eastAsia="Times New Roman" w:cs="Times New Roman"/>
          <w:szCs w:val="20"/>
          <w:lang w:val="hr-HR" w:eastAsia="en-GB"/>
        </w:rPr>
        <w:t xml:space="preserve">tog </w:t>
      </w:r>
      <w:r w:rsidRPr="00D9488A">
        <w:rPr>
          <w:rFonts w:eastAsia="Times New Roman" w:cs="Times New Roman"/>
          <w:szCs w:val="20"/>
          <w:lang w:val="hr-HR" w:eastAsia="en-GB"/>
        </w:rPr>
        <w:t>parametra.</w:t>
      </w:r>
    </w:p>
    <w:p w:rsidR="002B4384" w:rsidRPr="00D9488A" w:rsidRDefault="002B4384" w:rsidP="002B4384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B43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U slučaju prirodn</w:t>
      </w:r>
      <w:r w:rsidR="003F4432" w:rsidRPr="00D9488A">
        <w:rPr>
          <w:rFonts w:eastAsia="Times New Roman" w:cs="Times New Roman"/>
          <w:szCs w:val="20"/>
          <w:lang w:val="hr-HR" w:eastAsia="en-GB"/>
        </w:rPr>
        <w:t>ih</w:t>
      </w:r>
      <w:r w:rsidRPr="00D9488A">
        <w:rPr>
          <w:rFonts w:eastAsia="Times New Roman" w:cs="Times New Roman"/>
          <w:szCs w:val="20"/>
          <w:lang w:val="hr-HR" w:eastAsia="en-GB"/>
        </w:rPr>
        <w:t xml:space="preserve"> radionuklida, kada su prethodni rezultati pokazali da je koncentracija radionuklida stabilna </w:t>
      </w:r>
      <w:r w:rsidR="003F4432" w:rsidRPr="00D9488A">
        <w:rPr>
          <w:rFonts w:eastAsia="Times New Roman" w:cs="Times New Roman"/>
          <w:szCs w:val="20"/>
          <w:lang w:val="hr-HR" w:eastAsia="en-GB"/>
        </w:rPr>
        <w:t>i uz odstupanje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od </w:t>
      </w:r>
      <w:r w:rsidR="003F4432" w:rsidRPr="00D9488A">
        <w:rPr>
          <w:rFonts w:eastAsia="Times New Roman" w:cs="Times New Roman"/>
          <w:szCs w:val="20"/>
          <w:lang w:val="hr-HR" w:eastAsia="en-GB"/>
        </w:rPr>
        <w:t>minimalnih</w:t>
      </w:r>
      <w:r w:rsidRPr="00D9488A">
        <w:rPr>
          <w:rFonts w:eastAsia="Times New Roman" w:cs="Times New Roman"/>
          <w:szCs w:val="20"/>
          <w:lang w:val="hr-HR" w:eastAsia="en-GB"/>
        </w:rPr>
        <w:t xml:space="preserve"> zahtjeva za uzorkovanje navedenih u t</w:t>
      </w:r>
      <w:r w:rsidR="0032532C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čki 6, </w:t>
      </w:r>
      <w:r w:rsidR="003F4432" w:rsidRPr="00D9488A">
        <w:rPr>
          <w:rFonts w:eastAsia="Times New Roman" w:cs="Times New Roman"/>
          <w:szCs w:val="20"/>
          <w:lang w:val="hr-HR" w:eastAsia="en-GB"/>
        </w:rPr>
        <w:t xml:space="preserve">država članica </w:t>
      </w:r>
      <w:r w:rsidR="009E6482" w:rsidRPr="00D9488A">
        <w:rPr>
          <w:rFonts w:eastAsia="Times New Roman" w:cs="Times New Roman"/>
          <w:szCs w:val="20"/>
          <w:lang w:val="hr-HR" w:eastAsia="en-GB"/>
        </w:rPr>
        <w:t>određuje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3F4432" w:rsidRPr="00D9488A">
        <w:rPr>
          <w:rFonts w:eastAsia="Times New Roman" w:cs="Times New Roman"/>
          <w:szCs w:val="20"/>
          <w:lang w:val="hr-HR" w:eastAsia="en-GB"/>
        </w:rPr>
        <w:t xml:space="preserve">učestalost </w:t>
      </w:r>
      <w:r w:rsidR="009E6482" w:rsidRPr="00D9488A">
        <w:rPr>
          <w:rFonts w:eastAsia="Times New Roman" w:cs="Times New Roman"/>
          <w:szCs w:val="20"/>
          <w:lang w:val="hr-HR" w:eastAsia="en-GB"/>
        </w:rPr>
        <w:t xml:space="preserve">monitoringa </w:t>
      </w:r>
      <w:r w:rsidRPr="00D9488A">
        <w:rPr>
          <w:rFonts w:eastAsia="Times New Roman" w:cs="Times New Roman"/>
          <w:szCs w:val="20"/>
          <w:lang w:val="hr-HR" w:eastAsia="en-GB"/>
        </w:rPr>
        <w:t xml:space="preserve">uzimajući u obzir rizik za ljudsko zdravlje. Od države članice </w:t>
      </w:r>
      <w:r w:rsidR="0032532C" w:rsidRPr="00D9488A">
        <w:rPr>
          <w:rFonts w:eastAsia="Times New Roman" w:cs="Times New Roman"/>
          <w:szCs w:val="20"/>
          <w:lang w:val="hr-HR" w:eastAsia="en-GB"/>
        </w:rPr>
        <w:t xml:space="preserve">se </w:t>
      </w:r>
      <w:r w:rsidRPr="00D9488A">
        <w:rPr>
          <w:rFonts w:eastAsia="Times New Roman" w:cs="Times New Roman"/>
          <w:szCs w:val="20"/>
          <w:lang w:val="hr-HR" w:eastAsia="en-GB"/>
        </w:rPr>
        <w:t xml:space="preserve">ne zahtijeva </w:t>
      </w:r>
      <w:r w:rsidR="00333EB4" w:rsidRPr="00D9488A">
        <w:rPr>
          <w:rFonts w:eastAsia="Times New Roman" w:cs="Times New Roman"/>
          <w:szCs w:val="20"/>
          <w:lang w:val="hr-HR" w:eastAsia="en-GB"/>
        </w:rPr>
        <w:t>monitoring</w:t>
      </w:r>
      <w:r w:rsidR="00855A3D" w:rsidRPr="00D9488A">
        <w:rPr>
          <w:rFonts w:eastAsia="Times New Roman" w:cs="Times New Roman"/>
          <w:szCs w:val="20"/>
          <w:lang w:val="hr-HR" w:eastAsia="en-GB"/>
        </w:rPr>
        <w:t xml:space="preserve"> radona ili tricija </w:t>
      </w:r>
      <w:r w:rsidR="009E6482" w:rsidRPr="00D9488A">
        <w:rPr>
          <w:rFonts w:eastAsia="Times New Roman" w:cs="Times New Roman"/>
          <w:szCs w:val="20"/>
          <w:lang w:val="hr-HR" w:eastAsia="en-GB"/>
        </w:rPr>
        <w:t>ni</w:t>
      </w:r>
      <w:r w:rsidR="00855A3D" w:rsidRPr="00D9488A">
        <w:rPr>
          <w:rFonts w:eastAsia="Times New Roman" w:cs="Times New Roman"/>
          <w:szCs w:val="20"/>
          <w:lang w:val="hr-HR" w:eastAsia="en-GB"/>
        </w:rPr>
        <w:t xml:space="preserve"> utvrđivanje ID-a u</w:t>
      </w:r>
      <w:r w:rsidRPr="00D9488A">
        <w:rPr>
          <w:rFonts w:eastAsia="Times New Roman" w:cs="Times New Roman"/>
          <w:szCs w:val="20"/>
          <w:lang w:val="hr-HR" w:eastAsia="en-GB"/>
        </w:rPr>
        <w:t xml:space="preserve"> vod</w:t>
      </w:r>
      <w:r w:rsidR="00855A3D" w:rsidRPr="00D9488A">
        <w:rPr>
          <w:rFonts w:eastAsia="Times New Roman" w:cs="Times New Roman"/>
          <w:szCs w:val="20"/>
          <w:lang w:val="hr-HR" w:eastAsia="en-GB"/>
        </w:rPr>
        <w:t>i namijenjenoj</w:t>
      </w:r>
      <w:r w:rsidRPr="00D9488A">
        <w:rPr>
          <w:rFonts w:eastAsia="Times New Roman" w:cs="Times New Roman"/>
          <w:szCs w:val="20"/>
          <w:lang w:val="hr-HR" w:eastAsia="en-GB"/>
        </w:rPr>
        <w:t xml:space="preserve"> za ljudsku potrošnju ako je </w:t>
      </w:r>
      <w:r w:rsidR="003F4432" w:rsidRPr="00D9488A">
        <w:rPr>
          <w:rFonts w:eastAsia="Times New Roman" w:cs="Times New Roman"/>
          <w:szCs w:val="20"/>
          <w:lang w:val="hr-HR" w:eastAsia="en-GB"/>
        </w:rPr>
        <w:t xml:space="preserve">država članica </w:t>
      </w:r>
      <w:r w:rsidRPr="00D9488A">
        <w:rPr>
          <w:rFonts w:eastAsia="Times New Roman" w:cs="Times New Roman"/>
          <w:szCs w:val="20"/>
          <w:lang w:val="hr-HR" w:eastAsia="en-GB"/>
        </w:rPr>
        <w:t xml:space="preserve">uvjerena </w:t>
      </w:r>
      <w:r w:rsidR="009E6482" w:rsidRPr="00D9488A">
        <w:rPr>
          <w:rFonts w:eastAsia="Times New Roman" w:cs="Times New Roman"/>
          <w:szCs w:val="20"/>
          <w:lang w:val="hr-HR" w:eastAsia="en-GB"/>
        </w:rPr>
        <w:t xml:space="preserve">na osnovu reprezentativnih istraživanja, podataka monitoringa ili drugih pouzdanih informacija </w:t>
      </w:r>
      <w:r w:rsidRPr="00D9488A">
        <w:rPr>
          <w:rFonts w:eastAsia="Times New Roman" w:cs="Times New Roman"/>
          <w:szCs w:val="20"/>
          <w:lang w:val="hr-HR" w:eastAsia="en-GB"/>
        </w:rPr>
        <w:t xml:space="preserve">da će </w:t>
      </w:r>
      <w:r w:rsidR="009E6482" w:rsidRPr="00D9488A">
        <w:rPr>
          <w:rFonts w:eastAsia="Times New Roman" w:cs="Times New Roman"/>
          <w:szCs w:val="20"/>
          <w:lang w:val="hr-HR" w:eastAsia="en-GB"/>
        </w:rPr>
        <w:t xml:space="preserve">nivoi radona, tricija ili izračunatog ID-a ostati ispod njihovih pojedinačnih vrijednosti parametara navedenih u Aneksu I </w:t>
      </w:r>
      <w:r w:rsidRPr="00D9488A">
        <w:rPr>
          <w:rFonts w:eastAsia="Times New Roman" w:cs="Times New Roman"/>
          <w:szCs w:val="20"/>
          <w:lang w:val="hr-HR" w:eastAsia="en-GB"/>
        </w:rPr>
        <w:t>t</w:t>
      </w:r>
      <w:r w:rsidR="00146BCF" w:rsidRPr="00D9488A">
        <w:rPr>
          <w:rFonts w:eastAsia="Times New Roman" w:cs="Times New Roman"/>
          <w:szCs w:val="20"/>
          <w:lang w:val="hr-HR" w:eastAsia="en-GB"/>
        </w:rPr>
        <w:t>okom perioda kojeg</w:t>
      </w:r>
      <w:r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9E6482" w:rsidRPr="00D9488A">
        <w:rPr>
          <w:rFonts w:eastAsia="Times New Roman" w:cs="Times New Roman"/>
          <w:szCs w:val="20"/>
          <w:lang w:val="hr-HR" w:eastAsia="en-GB"/>
        </w:rPr>
        <w:t xml:space="preserve">država članica </w:t>
      </w:r>
      <w:r w:rsidRPr="00D9488A">
        <w:rPr>
          <w:rFonts w:eastAsia="Times New Roman" w:cs="Times New Roman"/>
          <w:szCs w:val="20"/>
          <w:lang w:val="hr-HR" w:eastAsia="en-GB"/>
        </w:rPr>
        <w:t xml:space="preserve">odredi. U tom slučaju, </w:t>
      </w:r>
      <w:r w:rsidR="003F4432" w:rsidRPr="00D9488A">
        <w:rPr>
          <w:rFonts w:eastAsia="Times New Roman" w:cs="Times New Roman"/>
          <w:szCs w:val="20"/>
          <w:lang w:val="hr-HR" w:eastAsia="en-GB"/>
        </w:rPr>
        <w:t xml:space="preserve">država članica </w:t>
      </w:r>
      <w:r w:rsidRPr="00D9488A">
        <w:rPr>
          <w:rFonts w:eastAsia="Times New Roman" w:cs="Times New Roman"/>
          <w:szCs w:val="20"/>
          <w:lang w:val="hr-HR" w:eastAsia="en-GB"/>
        </w:rPr>
        <w:t>obavješ</w:t>
      </w:r>
      <w:r w:rsidR="00274C45" w:rsidRPr="00D9488A">
        <w:rPr>
          <w:rFonts w:eastAsia="Times New Roman" w:cs="Times New Roman"/>
          <w:szCs w:val="20"/>
          <w:lang w:val="hr-HR" w:eastAsia="en-GB"/>
        </w:rPr>
        <w:t>tava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Komisiju o razlozima za svoj</w:t>
      </w:r>
      <w:r w:rsidR="003F4432" w:rsidRPr="00D9488A">
        <w:rPr>
          <w:rFonts w:eastAsia="Times New Roman" w:cs="Times New Roman"/>
          <w:szCs w:val="20"/>
          <w:lang w:val="hr-HR" w:eastAsia="en-GB"/>
        </w:rPr>
        <w:t>u</w:t>
      </w:r>
      <w:r w:rsidRPr="00D9488A">
        <w:rPr>
          <w:rFonts w:eastAsia="Times New Roman" w:cs="Times New Roman"/>
          <w:szCs w:val="20"/>
          <w:lang w:val="hr-HR" w:eastAsia="en-GB"/>
        </w:rPr>
        <w:t xml:space="preserve"> odluk</w:t>
      </w:r>
      <w:r w:rsidR="003F4432" w:rsidRPr="00D9488A">
        <w:rPr>
          <w:rFonts w:eastAsia="Times New Roman" w:cs="Times New Roman"/>
          <w:szCs w:val="20"/>
          <w:lang w:val="hr-HR" w:eastAsia="en-GB"/>
        </w:rPr>
        <w:t>u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 </w:t>
      </w:r>
      <w:r w:rsidR="003F4432" w:rsidRPr="00D9488A">
        <w:rPr>
          <w:rFonts w:eastAsia="Times New Roman" w:cs="Times New Roman"/>
          <w:szCs w:val="20"/>
          <w:lang w:val="hr-HR" w:eastAsia="en-GB"/>
        </w:rPr>
        <w:t>dostavlja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joj potrebnu dokumentaciju </w:t>
      </w:r>
      <w:r w:rsidR="003F4432" w:rsidRPr="00D9488A">
        <w:rPr>
          <w:rFonts w:eastAsia="Times New Roman" w:cs="Times New Roman"/>
          <w:szCs w:val="20"/>
          <w:lang w:val="hr-HR" w:eastAsia="en-GB"/>
        </w:rPr>
        <w:t>sa obrazloženjem</w:t>
      </w:r>
      <w:r w:rsidRPr="00D9488A">
        <w:rPr>
          <w:rFonts w:eastAsia="Times New Roman" w:cs="Times New Roman"/>
          <w:szCs w:val="20"/>
          <w:lang w:val="hr-HR" w:eastAsia="en-GB"/>
        </w:rPr>
        <w:t xml:space="preserve"> odluk</w:t>
      </w:r>
      <w:r w:rsidR="003F4432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>, uključujući rezultate</w:t>
      </w:r>
      <w:r w:rsidR="003F4432" w:rsidRPr="00D9488A">
        <w:rPr>
          <w:rFonts w:eastAsia="Times New Roman" w:cs="Times New Roman"/>
          <w:szCs w:val="20"/>
          <w:lang w:val="hr-HR" w:eastAsia="en-GB"/>
        </w:rPr>
        <w:t xml:space="preserve"> proveden</w:t>
      </w:r>
      <w:r w:rsidR="009E6482" w:rsidRPr="00D9488A">
        <w:rPr>
          <w:rFonts w:eastAsia="Times New Roman" w:cs="Times New Roman"/>
          <w:szCs w:val="20"/>
          <w:lang w:val="hr-HR" w:eastAsia="en-GB"/>
        </w:rPr>
        <w:t>ih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istraživanja, </w:t>
      </w:r>
      <w:r w:rsidR="00333EB4" w:rsidRPr="00D9488A">
        <w:rPr>
          <w:rFonts w:eastAsia="Times New Roman" w:cs="Times New Roman"/>
          <w:szCs w:val="20"/>
          <w:lang w:val="hr-HR" w:eastAsia="en-GB"/>
        </w:rPr>
        <w:t>monitoring</w:t>
      </w:r>
      <w:r w:rsidRPr="00D9488A">
        <w:rPr>
          <w:rFonts w:eastAsia="Times New Roman" w:cs="Times New Roman"/>
          <w:szCs w:val="20"/>
          <w:lang w:val="hr-HR" w:eastAsia="en-GB"/>
        </w:rPr>
        <w:t>a ili ispitivanja. U tom kontekstu</w:t>
      </w:r>
      <w:r w:rsidR="003F4432" w:rsidRPr="00D9488A">
        <w:rPr>
          <w:rFonts w:eastAsia="Times New Roman" w:cs="Times New Roman"/>
          <w:szCs w:val="20"/>
          <w:lang w:val="hr-HR" w:eastAsia="en-GB"/>
        </w:rPr>
        <w:t xml:space="preserve"> se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ne primjenjuju odredbe </w:t>
      </w:r>
      <w:r w:rsidR="009E6482" w:rsidRPr="00D9488A">
        <w:rPr>
          <w:rFonts w:eastAsia="Times New Roman" w:cs="Times New Roman"/>
          <w:szCs w:val="20"/>
          <w:lang w:val="hr-HR" w:eastAsia="en-GB"/>
        </w:rPr>
        <w:t xml:space="preserve">o </w:t>
      </w:r>
      <w:r w:rsidR="003F4432" w:rsidRPr="00D9488A">
        <w:rPr>
          <w:rFonts w:eastAsia="Times New Roman" w:cs="Times New Roman"/>
          <w:szCs w:val="20"/>
          <w:lang w:val="hr-HR" w:eastAsia="en-GB"/>
        </w:rPr>
        <w:t>minimalni</w:t>
      </w:r>
      <w:r w:rsidR="009E6482" w:rsidRPr="00D9488A">
        <w:rPr>
          <w:rFonts w:eastAsia="Times New Roman" w:cs="Times New Roman"/>
          <w:szCs w:val="20"/>
          <w:lang w:val="hr-HR" w:eastAsia="en-GB"/>
        </w:rPr>
        <w:t>m</w:t>
      </w:r>
      <w:r w:rsidRPr="00D9488A">
        <w:rPr>
          <w:rFonts w:eastAsia="Times New Roman" w:cs="Times New Roman"/>
          <w:szCs w:val="20"/>
          <w:lang w:val="hr-HR" w:eastAsia="en-GB"/>
        </w:rPr>
        <w:t xml:space="preserve"> zahtjev</w:t>
      </w:r>
      <w:r w:rsidR="009E6482" w:rsidRPr="00D9488A">
        <w:rPr>
          <w:rFonts w:eastAsia="Times New Roman" w:cs="Times New Roman"/>
          <w:szCs w:val="20"/>
          <w:lang w:val="hr-HR" w:eastAsia="en-GB"/>
        </w:rPr>
        <w:t>im</w:t>
      </w:r>
      <w:r w:rsidRPr="00D9488A">
        <w:rPr>
          <w:rFonts w:eastAsia="Times New Roman" w:cs="Times New Roman"/>
          <w:szCs w:val="20"/>
          <w:lang w:val="hr-HR" w:eastAsia="en-GB"/>
        </w:rPr>
        <w:t>a za uzorkovanje i analizu navedeni</w:t>
      </w:r>
      <w:r w:rsidR="009E6482" w:rsidRPr="00D9488A">
        <w:rPr>
          <w:rFonts w:eastAsia="Times New Roman" w:cs="Times New Roman"/>
          <w:szCs w:val="20"/>
          <w:lang w:val="hr-HR" w:eastAsia="en-GB"/>
        </w:rPr>
        <w:t>m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 t</w:t>
      </w:r>
      <w:r w:rsidR="002B4384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čki 6 ovog </w:t>
      </w:r>
      <w:r w:rsidR="00333EB4" w:rsidRPr="00D9488A">
        <w:rPr>
          <w:rFonts w:eastAsia="Times New Roman" w:cs="Times New Roman"/>
          <w:szCs w:val="20"/>
          <w:lang w:val="hr-HR" w:eastAsia="en-GB"/>
        </w:rPr>
        <w:t>a</w:t>
      </w:r>
      <w:r w:rsidR="00274C45" w:rsidRPr="00D9488A">
        <w:rPr>
          <w:rFonts w:eastAsia="Times New Roman" w:cs="Times New Roman"/>
          <w:szCs w:val="20"/>
          <w:lang w:val="hr-HR" w:eastAsia="en-GB"/>
        </w:rPr>
        <w:t>neks</w:t>
      </w:r>
      <w:r w:rsidRPr="00D9488A">
        <w:rPr>
          <w:rFonts w:eastAsia="Times New Roman" w:cs="Times New Roman"/>
          <w:szCs w:val="20"/>
          <w:lang w:val="hr-HR" w:eastAsia="en-GB"/>
        </w:rPr>
        <w:t>a.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2.   Radon 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B43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Države članice osiguravaju </w:t>
      </w:r>
      <w:r w:rsidR="009E6482" w:rsidRPr="00D9488A">
        <w:rPr>
          <w:rFonts w:eastAsia="Times New Roman" w:cs="Times New Roman"/>
          <w:szCs w:val="20"/>
          <w:lang w:val="hr-HR" w:eastAsia="en-GB"/>
        </w:rPr>
        <w:t>obavljanje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reprezentativnih is</w:t>
      </w:r>
      <w:r w:rsidR="004E067B" w:rsidRPr="00D9488A">
        <w:rPr>
          <w:rFonts w:eastAsia="Times New Roman" w:cs="Times New Roman"/>
          <w:szCs w:val="20"/>
          <w:lang w:val="hr-HR" w:eastAsia="en-GB"/>
        </w:rPr>
        <w:t>pitivanja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da bi se </w:t>
      </w:r>
      <w:r w:rsidR="004E067B" w:rsidRPr="00D9488A">
        <w:rPr>
          <w:rFonts w:eastAsia="Times New Roman" w:cs="Times New Roman"/>
          <w:szCs w:val="20"/>
          <w:lang w:val="hr-HR" w:eastAsia="en-GB"/>
        </w:rPr>
        <w:t>utvr</w:t>
      </w:r>
      <w:r w:rsidRPr="00D9488A">
        <w:rPr>
          <w:rFonts w:eastAsia="Times New Roman" w:cs="Times New Roman"/>
          <w:szCs w:val="20"/>
          <w:lang w:val="hr-HR" w:eastAsia="en-GB"/>
        </w:rPr>
        <w:t>dili st</w:t>
      </w:r>
      <w:r w:rsidR="00E27073" w:rsidRPr="00D9488A">
        <w:rPr>
          <w:rFonts w:eastAsia="Times New Roman" w:cs="Times New Roman"/>
          <w:szCs w:val="20"/>
          <w:lang w:val="hr-HR" w:eastAsia="en-GB"/>
        </w:rPr>
        <w:t>epen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 priroda vjero</w:t>
      </w:r>
      <w:r w:rsidR="00E27073" w:rsidRPr="00D9488A">
        <w:rPr>
          <w:rFonts w:eastAsia="Times New Roman" w:cs="Times New Roman"/>
          <w:szCs w:val="20"/>
          <w:lang w:val="hr-HR" w:eastAsia="en-GB"/>
        </w:rPr>
        <w:t>v</w:t>
      </w:r>
      <w:r w:rsidRPr="00D9488A">
        <w:rPr>
          <w:rFonts w:eastAsia="Times New Roman" w:cs="Times New Roman"/>
          <w:szCs w:val="20"/>
          <w:lang w:val="hr-HR" w:eastAsia="en-GB"/>
        </w:rPr>
        <w:t xml:space="preserve">atnih </w:t>
      </w:r>
      <w:r w:rsidR="00E27073" w:rsidRPr="00D9488A">
        <w:rPr>
          <w:rFonts w:eastAsia="Times New Roman" w:cs="Times New Roman"/>
          <w:szCs w:val="20"/>
          <w:lang w:val="hr-HR" w:eastAsia="en-GB"/>
        </w:rPr>
        <w:t>ekspozicija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radonu u vodi namijenjenoj za ljudsku potrošnju koja pot</w:t>
      </w:r>
      <w:r w:rsidR="00146BCF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>če iz različitih vrsta podzemnih izvora i vrela na različitim geološkim područjima. Is</w:t>
      </w:r>
      <w:r w:rsidR="004E067B" w:rsidRPr="00D9488A">
        <w:rPr>
          <w:rFonts w:eastAsia="Times New Roman" w:cs="Times New Roman"/>
          <w:szCs w:val="20"/>
          <w:lang w:val="hr-HR" w:eastAsia="en-GB"/>
        </w:rPr>
        <w:t>pitivanja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se </w:t>
      </w:r>
      <w:r w:rsidR="004E067B" w:rsidRPr="00D9488A">
        <w:rPr>
          <w:rFonts w:eastAsia="Times New Roman" w:cs="Times New Roman"/>
          <w:szCs w:val="20"/>
          <w:lang w:val="hr-HR" w:eastAsia="en-GB"/>
        </w:rPr>
        <w:t>k</w:t>
      </w:r>
      <w:r w:rsidR="009E6482" w:rsidRPr="00D9488A">
        <w:rPr>
          <w:rFonts w:eastAsia="Times New Roman" w:cs="Times New Roman"/>
          <w:szCs w:val="20"/>
          <w:lang w:val="hr-HR" w:eastAsia="en-GB"/>
        </w:rPr>
        <w:t>oncipiraju</w:t>
      </w:r>
      <w:r w:rsidRPr="00D9488A">
        <w:rPr>
          <w:rFonts w:eastAsia="Times New Roman" w:cs="Times New Roman"/>
          <w:szCs w:val="20"/>
          <w:lang w:val="hr-HR" w:eastAsia="en-GB"/>
        </w:rPr>
        <w:t xml:space="preserve"> tako da </w:t>
      </w:r>
      <w:r w:rsidR="009E6482" w:rsidRPr="00D9488A">
        <w:rPr>
          <w:rFonts w:eastAsia="Times New Roman" w:cs="Times New Roman"/>
          <w:szCs w:val="20"/>
          <w:lang w:val="hr-HR" w:eastAsia="en-GB"/>
        </w:rPr>
        <w:t>s</w:t>
      </w:r>
      <w:r w:rsidRPr="00D9488A">
        <w:rPr>
          <w:rFonts w:eastAsia="Times New Roman" w:cs="Times New Roman"/>
          <w:szCs w:val="20"/>
          <w:lang w:val="hr-HR" w:eastAsia="en-GB"/>
        </w:rPr>
        <w:t>e mogu</w:t>
      </w:r>
      <w:r w:rsidR="009E6482" w:rsidRPr="00D9488A">
        <w:rPr>
          <w:rFonts w:eastAsia="Times New Roman" w:cs="Times New Roman"/>
          <w:szCs w:val="20"/>
          <w:lang w:val="hr-HR" w:eastAsia="en-GB"/>
        </w:rPr>
        <w:t xml:space="preserve"> utvrditi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osnovn</w:t>
      </w:r>
      <w:r w:rsidR="009E6482" w:rsidRPr="00D9488A">
        <w:rPr>
          <w:rFonts w:eastAsia="Times New Roman" w:cs="Times New Roman"/>
          <w:szCs w:val="20"/>
          <w:lang w:val="hr-HR" w:eastAsia="en-GB"/>
        </w:rPr>
        <w:t>i parametri</w:t>
      </w:r>
      <w:r w:rsidRPr="00D9488A">
        <w:rPr>
          <w:rFonts w:eastAsia="Times New Roman" w:cs="Times New Roman"/>
          <w:szCs w:val="20"/>
          <w:lang w:val="hr-HR" w:eastAsia="en-GB"/>
        </w:rPr>
        <w:t xml:space="preserve">, </w:t>
      </w:r>
      <w:r w:rsidR="00146BCF" w:rsidRPr="00D9488A">
        <w:rPr>
          <w:rFonts w:eastAsia="Times New Roman" w:cs="Times New Roman"/>
          <w:szCs w:val="20"/>
          <w:lang w:val="hr-HR" w:eastAsia="en-GB"/>
        </w:rPr>
        <w:t>naročito</w:t>
      </w:r>
      <w:r w:rsidRPr="00D9488A">
        <w:rPr>
          <w:rFonts w:eastAsia="Times New Roman" w:cs="Times New Roman"/>
          <w:szCs w:val="20"/>
          <w:lang w:val="hr-HR" w:eastAsia="en-GB"/>
        </w:rPr>
        <w:t xml:space="preserve"> geologij</w:t>
      </w:r>
      <w:r w:rsidR="009E6482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 hidrologij</w:t>
      </w:r>
      <w:r w:rsidR="009E6482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područja, radioaktivnost stijena ili tla i vrst</w:t>
      </w:r>
      <w:r w:rsidR="009E6482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izvora</w:t>
      </w:r>
      <w:r w:rsidR="004E067B" w:rsidRPr="00D9488A">
        <w:rPr>
          <w:rFonts w:eastAsia="Times New Roman" w:cs="Times New Roman"/>
          <w:szCs w:val="20"/>
          <w:lang w:val="hr-HR" w:eastAsia="en-GB"/>
        </w:rPr>
        <w:t xml:space="preserve"> vode</w:t>
      </w:r>
      <w:r w:rsidRPr="00D9488A">
        <w:rPr>
          <w:rFonts w:eastAsia="Times New Roman" w:cs="Times New Roman"/>
          <w:szCs w:val="20"/>
          <w:lang w:val="hr-HR" w:eastAsia="en-GB"/>
        </w:rPr>
        <w:t xml:space="preserve">, i </w:t>
      </w:r>
      <w:r w:rsidR="009E6482" w:rsidRPr="00D9488A">
        <w:rPr>
          <w:rFonts w:eastAsia="Times New Roman" w:cs="Times New Roman"/>
          <w:szCs w:val="20"/>
          <w:lang w:val="hr-HR" w:eastAsia="en-GB"/>
        </w:rPr>
        <w:t>biti korišteni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za usmjer</w:t>
      </w:r>
      <w:r w:rsidR="004E067B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>vanje dalj</w:t>
      </w:r>
      <w:r w:rsidR="00EC0EA6">
        <w:rPr>
          <w:rFonts w:eastAsia="Times New Roman" w:cs="Times New Roman"/>
          <w:szCs w:val="20"/>
          <w:lang w:val="hr-HR" w:eastAsia="en-GB"/>
        </w:rPr>
        <w:t xml:space="preserve">ih mjera </w:t>
      </w:r>
      <w:r w:rsidRPr="00D9488A">
        <w:rPr>
          <w:rFonts w:eastAsia="Times New Roman" w:cs="Times New Roman"/>
          <w:szCs w:val="20"/>
          <w:lang w:val="hr-HR" w:eastAsia="en-GB"/>
        </w:rPr>
        <w:t>na područjima vjero</w:t>
      </w:r>
      <w:r w:rsidR="00146BCF" w:rsidRPr="00D9488A">
        <w:rPr>
          <w:rFonts w:eastAsia="Times New Roman" w:cs="Times New Roman"/>
          <w:szCs w:val="20"/>
          <w:lang w:val="hr-HR" w:eastAsia="en-GB"/>
        </w:rPr>
        <w:t>v</w:t>
      </w:r>
      <w:r w:rsidRPr="00D9488A">
        <w:rPr>
          <w:rFonts w:eastAsia="Times New Roman" w:cs="Times New Roman"/>
          <w:szCs w:val="20"/>
          <w:lang w:val="hr-HR" w:eastAsia="en-GB"/>
        </w:rPr>
        <w:t xml:space="preserve">atne visoke </w:t>
      </w:r>
      <w:r w:rsidR="004E067B" w:rsidRPr="00D9488A">
        <w:rPr>
          <w:rFonts w:eastAsia="Times New Roman" w:cs="Times New Roman"/>
          <w:szCs w:val="20"/>
          <w:lang w:val="hr-HR" w:eastAsia="en-GB"/>
        </w:rPr>
        <w:t>ekspozicije</w:t>
      </w:r>
      <w:r w:rsidRPr="00D9488A">
        <w:rPr>
          <w:rFonts w:eastAsia="Times New Roman" w:cs="Times New Roman"/>
          <w:szCs w:val="20"/>
          <w:lang w:val="hr-HR" w:eastAsia="en-GB"/>
        </w:rPr>
        <w:t xml:space="preserve">. </w:t>
      </w:r>
      <w:r w:rsidR="00E27073" w:rsidRPr="00D9488A">
        <w:rPr>
          <w:rFonts w:eastAsia="Times New Roman" w:cs="Times New Roman"/>
          <w:szCs w:val="20"/>
          <w:lang w:val="hr-HR" w:eastAsia="en-GB"/>
        </w:rPr>
        <w:t xml:space="preserve">Monitoring </w:t>
      </w:r>
      <w:r w:rsidRPr="00D9488A">
        <w:rPr>
          <w:rFonts w:eastAsia="Times New Roman" w:cs="Times New Roman"/>
          <w:szCs w:val="20"/>
          <w:lang w:val="hr-HR" w:eastAsia="en-GB"/>
        </w:rPr>
        <w:t xml:space="preserve">koncentracija radona </w:t>
      </w:r>
      <w:r w:rsidR="004E067B" w:rsidRPr="00D9488A">
        <w:rPr>
          <w:rFonts w:eastAsia="Times New Roman" w:cs="Times New Roman"/>
          <w:szCs w:val="20"/>
          <w:lang w:val="hr-HR" w:eastAsia="en-GB"/>
        </w:rPr>
        <w:t xml:space="preserve">se </w:t>
      </w:r>
      <w:r w:rsidR="009E6482" w:rsidRPr="00D9488A">
        <w:rPr>
          <w:rFonts w:eastAsia="Times New Roman" w:cs="Times New Roman"/>
          <w:szCs w:val="20"/>
          <w:lang w:val="hr-HR" w:eastAsia="en-GB"/>
        </w:rPr>
        <w:t>obavlja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kada </w:t>
      </w:r>
      <w:r w:rsidR="004E067B" w:rsidRPr="00D9488A">
        <w:rPr>
          <w:rFonts w:eastAsia="Times New Roman" w:cs="Times New Roman"/>
          <w:szCs w:val="20"/>
          <w:lang w:val="hr-HR" w:eastAsia="en-GB"/>
        </w:rPr>
        <w:t xml:space="preserve">na osnovu rezultata reprezentativnih istraživanja ili drugih pouzdanih informacija </w:t>
      </w:r>
      <w:r w:rsidRPr="00D9488A">
        <w:rPr>
          <w:rFonts w:eastAsia="Times New Roman" w:cs="Times New Roman"/>
          <w:szCs w:val="20"/>
          <w:lang w:val="hr-HR" w:eastAsia="en-GB"/>
        </w:rPr>
        <w:t>postoji razlog za vjerovanje da bi vrijednost para</w:t>
      </w:r>
      <w:r w:rsidR="00274C45" w:rsidRPr="00D9488A">
        <w:rPr>
          <w:rFonts w:eastAsia="Times New Roman" w:cs="Times New Roman"/>
          <w:szCs w:val="20"/>
          <w:lang w:val="hr-HR" w:eastAsia="en-GB"/>
        </w:rPr>
        <w:t>metra utvrđena u skladu s</w:t>
      </w:r>
      <w:r w:rsidR="00146BCF" w:rsidRPr="00D9488A">
        <w:rPr>
          <w:rFonts w:eastAsia="Times New Roman" w:cs="Times New Roman"/>
          <w:szCs w:val="20"/>
          <w:lang w:val="hr-HR" w:eastAsia="en-GB"/>
        </w:rPr>
        <w:t>a</w:t>
      </w:r>
      <w:r w:rsidR="00274C45" w:rsidRPr="00D9488A">
        <w:rPr>
          <w:rFonts w:eastAsia="Times New Roman" w:cs="Times New Roman"/>
          <w:szCs w:val="20"/>
          <w:lang w:val="hr-HR" w:eastAsia="en-GB"/>
        </w:rPr>
        <w:t xml:space="preserve"> član</w:t>
      </w:r>
      <w:r w:rsidRPr="00D9488A">
        <w:rPr>
          <w:rFonts w:eastAsia="Times New Roman" w:cs="Times New Roman"/>
          <w:szCs w:val="20"/>
          <w:lang w:val="hr-HR" w:eastAsia="en-GB"/>
        </w:rPr>
        <w:t>om 5 stav 1. mogla biti pre</w:t>
      </w:r>
      <w:r w:rsidR="00E27073" w:rsidRPr="00D9488A">
        <w:rPr>
          <w:rFonts w:eastAsia="Times New Roman" w:cs="Times New Roman"/>
          <w:szCs w:val="20"/>
          <w:lang w:val="hr-HR" w:eastAsia="en-GB"/>
        </w:rPr>
        <w:t>đena</w:t>
      </w:r>
      <w:r w:rsidRPr="00D9488A">
        <w:rPr>
          <w:rFonts w:eastAsia="Times New Roman" w:cs="Times New Roman"/>
          <w:szCs w:val="20"/>
          <w:lang w:val="hr-HR" w:eastAsia="en-GB"/>
        </w:rPr>
        <w:t>.</w:t>
      </w:r>
    </w:p>
    <w:p w:rsidR="002B4384" w:rsidRPr="00D9488A" w:rsidRDefault="002B4384" w:rsidP="002B4384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B43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3.   Tricij </w:t>
      </w:r>
    </w:p>
    <w:p w:rsidR="00274C45" w:rsidRPr="00D9488A" w:rsidRDefault="00274C45" w:rsidP="002B4384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B43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Države članice osiguravaju da se </w:t>
      </w:r>
      <w:r w:rsidR="00E27073" w:rsidRPr="00D9488A">
        <w:rPr>
          <w:rFonts w:eastAsia="Times New Roman" w:cs="Times New Roman"/>
          <w:szCs w:val="20"/>
          <w:lang w:val="hr-HR" w:eastAsia="en-GB"/>
        </w:rPr>
        <w:t>monitoring</w:t>
      </w:r>
      <w:r w:rsidRPr="00D9488A">
        <w:rPr>
          <w:rFonts w:eastAsia="Times New Roman" w:cs="Times New Roman"/>
          <w:szCs w:val="20"/>
          <w:lang w:val="hr-HR" w:eastAsia="en-GB"/>
        </w:rPr>
        <w:t xml:space="preserve"> tricija u vodi namijenjenoj za ljudsku potrošnju </w:t>
      </w:r>
      <w:r w:rsidR="004E067B" w:rsidRPr="00D9488A">
        <w:rPr>
          <w:rFonts w:eastAsia="Times New Roman" w:cs="Times New Roman"/>
          <w:szCs w:val="20"/>
          <w:lang w:val="hr-HR" w:eastAsia="en-GB"/>
        </w:rPr>
        <w:t>obavlja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kada je u </w:t>
      </w:r>
      <w:r w:rsidR="00903797" w:rsidRPr="00D9488A">
        <w:rPr>
          <w:rFonts w:eastAsia="Times New Roman" w:cs="Times New Roman"/>
          <w:szCs w:val="20"/>
          <w:lang w:val="hr-HR" w:eastAsia="en-GB"/>
        </w:rPr>
        <w:t>slivnom</w:t>
      </w:r>
      <w:r w:rsidRPr="00D9488A">
        <w:rPr>
          <w:rFonts w:eastAsia="Times New Roman" w:cs="Times New Roman"/>
          <w:szCs w:val="20"/>
          <w:lang w:val="hr-HR" w:eastAsia="en-GB"/>
        </w:rPr>
        <w:t xml:space="preserve"> području prisutan antropogeni izvor tricija ili drugih </w:t>
      </w:r>
      <w:r w:rsidR="007E1F2D" w:rsidRPr="00D9488A">
        <w:rPr>
          <w:rFonts w:eastAsia="Times New Roman" w:cs="Times New Roman"/>
          <w:szCs w:val="20"/>
          <w:lang w:val="hr-HR" w:eastAsia="en-GB"/>
        </w:rPr>
        <w:t>vještačk</w:t>
      </w:r>
      <w:r w:rsidRPr="00D9488A">
        <w:rPr>
          <w:rFonts w:eastAsia="Times New Roman" w:cs="Times New Roman"/>
          <w:szCs w:val="20"/>
          <w:lang w:val="hr-HR" w:eastAsia="en-GB"/>
        </w:rPr>
        <w:t>ih radionuklida</w:t>
      </w:r>
      <w:r w:rsidR="004E067B" w:rsidRPr="00D9488A">
        <w:rPr>
          <w:rFonts w:eastAsia="Times New Roman" w:cs="Times New Roman"/>
          <w:szCs w:val="20"/>
          <w:lang w:val="hr-HR" w:eastAsia="en-GB"/>
        </w:rPr>
        <w:t xml:space="preserve"> 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kada se na </w:t>
      </w:r>
      <w:r w:rsidR="0080126D" w:rsidRPr="00D9488A">
        <w:rPr>
          <w:rFonts w:eastAsia="Times New Roman" w:cs="Times New Roman"/>
          <w:szCs w:val="20"/>
          <w:lang w:val="hr-HR" w:eastAsia="en-GB"/>
        </w:rPr>
        <w:t>osnovu</w:t>
      </w:r>
      <w:r w:rsidRPr="00D9488A">
        <w:rPr>
          <w:rFonts w:eastAsia="Times New Roman" w:cs="Times New Roman"/>
          <w:szCs w:val="20"/>
          <w:lang w:val="hr-HR" w:eastAsia="en-GB"/>
        </w:rPr>
        <w:t xml:space="preserve"> drugih programa </w:t>
      </w:r>
      <w:r w:rsidR="00903797" w:rsidRPr="00D9488A">
        <w:rPr>
          <w:rFonts w:eastAsia="Times New Roman" w:cs="Times New Roman"/>
          <w:szCs w:val="20"/>
          <w:lang w:val="hr-HR" w:eastAsia="en-GB"/>
        </w:rPr>
        <w:t>praćenja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ili ispitivanja ne može dokazati da je </w:t>
      </w:r>
      <w:r w:rsidR="002B4384" w:rsidRPr="00D9488A">
        <w:rPr>
          <w:rFonts w:eastAsia="Times New Roman" w:cs="Times New Roman"/>
          <w:szCs w:val="20"/>
          <w:lang w:val="hr-HR" w:eastAsia="en-GB"/>
        </w:rPr>
        <w:t>nivo</w:t>
      </w:r>
      <w:r w:rsidRPr="00D9488A">
        <w:rPr>
          <w:rFonts w:eastAsia="Times New Roman" w:cs="Times New Roman"/>
          <w:szCs w:val="20"/>
          <w:lang w:val="hr-HR" w:eastAsia="en-GB"/>
        </w:rPr>
        <w:t xml:space="preserve"> tricija ispod vrijednosti parametra navedene u </w:t>
      </w:r>
      <w:r w:rsidR="00274C45" w:rsidRPr="00D9488A">
        <w:rPr>
          <w:rFonts w:eastAsia="Times New Roman" w:cs="Times New Roman"/>
          <w:szCs w:val="20"/>
          <w:lang w:val="hr-HR" w:eastAsia="en-GB"/>
        </w:rPr>
        <w:t>Aneks</w:t>
      </w:r>
      <w:r w:rsidRPr="00D9488A">
        <w:rPr>
          <w:rFonts w:eastAsia="Times New Roman" w:cs="Times New Roman"/>
          <w:szCs w:val="20"/>
          <w:lang w:val="hr-HR" w:eastAsia="en-GB"/>
        </w:rPr>
        <w:t xml:space="preserve">u I. </w:t>
      </w:r>
      <w:r w:rsidR="004E067B" w:rsidRPr="00D9488A">
        <w:rPr>
          <w:rFonts w:eastAsia="Times New Roman" w:cs="Times New Roman"/>
          <w:szCs w:val="20"/>
          <w:lang w:val="hr-HR" w:eastAsia="en-GB"/>
        </w:rPr>
        <w:t>K</w:t>
      </w:r>
      <w:r w:rsidRPr="00D9488A">
        <w:rPr>
          <w:rFonts w:eastAsia="Times New Roman" w:cs="Times New Roman"/>
          <w:szCs w:val="20"/>
          <w:lang w:val="hr-HR" w:eastAsia="en-GB"/>
        </w:rPr>
        <w:t xml:space="preserve">ada je </w:t>
      </w:r>
      <w:r w:rsidR="00E27073" w:rsidRPr="00D9488A">
        <w:rPr>
          <w:rFonts w:eastAsia="Times New Roman" w:cs="Times New Roman"/>
          <w:szCs w:val="20"/>
          <w:lang w:val="hr-HR" w:eastAsia="en-GB"/>
        </w:rPr>
        <w:t>monitoring tricija</w:t>
      </w:r>
      <w:r w:rsidR="00903797" w:rsidRPr="00D9488A">
        <w:rPr>
          <w:rFonts w:eastAsia="Times New Roman" w:cs="Times New Roman"/>
          <w:szCs w:val="20"/>
          <w:lang w:val="hr-HR" w:eastAsia="en-GB"/>
        </w:rPr>
        <w:t xml:space="preserve"> neophodan</w:t>
      </w:r>
      <w:r w:rsidR="00E27073" w:rsidRPr="00D9488A">
        <w:rPr>
          <w:rFonts w:eastAsia="Times New Roman" w:cs="Times New Roman"/>
          <w:szCs w:val="20"/>
          <w:lang w:val="hr-HR" w:eastAsia="en-GB"/>
        </w:rPr>
        <w:t xml:space="preserve">, </w:t>
      </w:r>
      <w:r w:rsidR="004E067B" w:rsidRPr="00D9488A">
        <w:rPr>
          <w:rFonts w:eastAsia="Times New Roman" w:cs="Times New Roman"/>
          <w:szCs w:val="20"/>
          <w:lang w:val="hr-HR" w:eastAsia="en-GB"/>
        </w:rPr>
        <w:t>obavlja</w:t>
      </w:r>
      <w:r w:rsidR="00903797" w:rsidRPr="00D9488A">
        <w:rPr>
          <w:rFonts w:eastAsia="Times New Roman" w:cs="Times New Roman"/>
          <w:szCs w:val="20"/>
          <w:lang w:val="hr-HR" w:eastAsia="en-GB"/>
        </w:rPr>
        <w:t xml:space="preserve"> se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prema učestalostima prikazanim u tab</w:t>
      </w:r>
      <w:r w:rsidR="002B4384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 xml:space="preserve">li </w:t>
      </w:r>
      <w:r w:rsidR="004E067B" w:rsidRPr="00D9488A">
        <w:rPr>
          <w:rFonts w:eastAsia="Times New Roman" w:cs="Times New Roman"/>
          <w:szCs w:val="20"/>
          <w:lang w:val="hr-HR" w:eastAsia="en-GB"/>
        </w:rPr>
        <w:t>iz</w:t>
      </w:r>
      <w:r w:rsidRPr="00D9488A">
        <w:rPr>
          <w:rFonts w:eastAsia="Times New Roman" w:cs="Times New Roman"/>
          <w:szCs w:val="20"/>
          <w:lang w:val="hr-HR" w:eastAsia="en-GB"/>
        </w:rPr>
        <w:t xml:space="preserve"> t</w:t>
      </w:r>
      <w:r w:rsidR="002B4384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>čk</w:t>
      </w:r>
      <w:r w:rsidR="004E067B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6. ovog </w:t>
      </w:r>
      <w:r w:rsidR="004E067B" w:rsidRPr="00D9488A">
        <w:rPr>
          <w:rFonts w:eastAsia="Times New Roman" w:cs="Times New Roman"/>
          <w:szCs w:val="20"/>
          <w:lang w:val="hr-HR" w:eastAsia="en-GB"/>
        </w:rPr>
        <w:t>a</w:t>
      </w:r>
      <w:r w:rsidR="00274C45" w:rsidRPr="00D9488A">
        <w:rPr>
          <w:rFonts w:eastAsia="Times New Roman" w:cs="Times New Roman"/>
          <w:szCs w:val="20"/>
          <w:lang w:val="hr-HR" w:eastAsia="en-GB"/>
        </w:rPr>
        <w:t>neks</w:t>
      </w:r>
      <w:r w:rsidRPr="00D9488A">
        <w:rPr>
          <w:rFonts w:eastAsia="Times New Roman" w:cs="Times New Roman"/>
          <w:szCs w:val="20"/>
          <w:lang w:val="hr-HR" w:eastAsia="en-GB"/>
        </w:rPr>
        <w:t>a. Ako koncentracija tricija pre</w:t>
      </w:r>
      <w:r w:rsidR="00E27073" w:rsidRPr="00D9488A">
        <w:rPr>
          <w:rFonts w:eastAsia="Times New Roman" w:cs="Times New Roman"/>
          <w:szCs w:val="20"/>
          <w:lang w:val="hr-HR" w:eastAsia="en-GB"/>
        </w:rPr>
        <w:t>lazi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svoju vrijednost parametra, </w:t>
      </w:r>
      <w:r w:rsidR="0094251F" w:rsidRPr="00D9488A">
        <w:rPr>
          <w:rFonts w:eastAsia="Times New Roman" w:cs="Times New Roman"/>
          <w:szCs w:val="20"/>
          <w:lang w:val="hr-HR" w:eastAsia="en-GB"/>
        </w:rPr>
        <w:t>obavlja se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ispitivanje prisu</w:t>
      </w:r>
      <w:r w:rsidR="0081439B" w:rsidRPr="00D9488A">
        <w:rPr>
          <w:rFonts w:eastAsia="Times New Roman" w:cs="Times New Roman"/>
          <w:szCs w:val="20"/>
          <w:lang w:val="hr-HR" w:eastAsia="en-GB"/>
        </w:rPr>
        <w:t>stv</w:t>
      </w:r>
      <w:r w:rsidR="00EC0EA6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drugih </w:t>
      </w:r>
      <w:r w:rsidR="00E27073" w:rsidRPr="00D9488A">
        <w:rPr>
          <w:rFonts w:eastAsia="Times New Roman" w:cs="Times New Roman"/>
          <w:szCs w:val="20"/>
          <w:lang w:val="hr-HR" w:eastAsia="en-GB"/>
        </w:rPr>
        <w:t>vještačk</w:t>
      </w:r>
      <w:r w:rsidRPr="00D9488A">
        <w:rPr>
          <w:rFonts w:eastAsia="Times New Roman" w:cs="Times New Roman"/>
          <w:szCs w:val="20"/>
          <w:lang w:val="hr-HR" w:eastAsia="en-GB"/>
        </w:rPr>
        <w:t>ih radionuklida.</w:t>
      </w:r>
    </w:p>
    <w:p w:rsidR="002B4384" w:rsidRPr="00D9488A" w:rsidRDefault="002B4384" w:rsidP="002B4384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4.   Indikativna doza 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E27073" w:rsidP="002B43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Monitoring </w:t>
      </w:r>
      <w:r w:rsidR="00C96D4F" w:rsidRPr="00D9488A">
        <w:rPr>
          <w:rFonts w:eastAsia="Times New Roman" w:cs="Times New Roman"/>
          <w:szCs w:val="20"/>
          <w:lang w:val="hr-HR" w:eastAsia="en-GB"/>
        </w:rPr>
        <w:t xml:space="preserve">ID-a u </w:t>
      </w:r>
      <w:r w:rsidR="00006EA5" w:rsidRPr="00D9488A">
        <w:rPr>
          <w:rFonts w:eastAsia="Times New Roman" w:cs="Times New Roman"/>
          <w:szCs w:val="20"/>
          <w:lang w:val="hr-HR" w:eastAsia="en-GB"/>
        </w:rPr>
        <w:t>vod</w:t>
      </w:r>
      <w:r w:rsidR="00C96D4F" w:rsidRPr="00D9488A">
        <w:rPr>
          <w:rFonts w:eastAsia="Times New Roman" w:cs="Times New Roman"/>
          <w:szCs w:val="20"/>
          <w:lang w:val="hr-HR" w:eastAsia="en-GB"/>
        </w:rPr>
        <w:t>i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namijenjen</w:t>
      </w:r>
      <w:r w:rsidR="00C96D4F" w:rsidRPr="00D9488A">
        <w:rPr>
          <w:rFonts w:eastAsia="Times New Roman" w:cs="Times New Roman"/>
          <w:szCs w:val="20"/>
          <w:lang w:val="hr-HR" w:eastAsia="en-GB"/>
        </w:rPr>
        <w:t>oj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za ljudsku potrošnju</w:t>
      </w:r>
      <w:r w:rsidR="00C96D4F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81439B" w:rsidRPr="00D9488A">
        <w:rPr>
          <w:rFonts w:eastAsia="Times New Roman" w:cs="Times New Roman"/>
          <w:szCs w:val="20"/>
          <w:lang w:val="hr-HR" w:eastAsia="en-GB"/>
        </w:rPr>
        <w:t>obavlja se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kada je prisutan izvor </w:t>
      </w:r>
      <w:r w:rsidRPr="00D9488A">
        <w:rPr>
          <w:rFonts w:eastAsia="Times New Roman" w:cs="Times New Roman"/>
          <w:szCs w:val="20"/>
          <w:lang w:val="hr-HR" w:eastAsia="en-GB"/>
        </w:rPr>
        <w:t>vještačke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ili povišene prirodne radioaktivnosti i kada se na </w:t>
      </w:r>
      <w:r w:rsidRPr="00D9488A">
        <w:rPr>
          <w:rFonts w:eastAsia="Times New Roman" w:cs="Times New Roman"/>
          <w:szCs w:val="20"/>
          <w:lang w:val="hr-HR" w:eastAsia="en-GB"/>
        </w:rPr>
        <w:t>osnovu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drugih reprezentativnih programa </w:t>
      </w:r>
      <w:r w:rsidRPr="00D9488A">
        <w:rPr>
          <w:rFonts w:eastAsia="Times New Roman" w:cs="Times New Roman"/>
          <w:szCs w:val="20"/>
          <w:lang w:val="hr-HR" w:eastAsia="en-GB"/>
        </w:rPr>
        <w:t>monitoringa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ili drugih ispitivanja ne može dokazati da je </w:t>
      </w:r>
      <w:r w:rsidRPr="00D9488A">
        <w:rPr>
          <w:rFonts w:eastAsia="Times New Roman" w:cs="Times New Roman"/>
          <w:szCs w:val="20"/>
          <w:lang w:val="hr-HR" w:eastAsia="en-GB"/>
        </w:rPr>
        <w:t>nivo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ID-a ispod vrijednosti parametra naveden</w:t>
      </w:r>
      <w:r w:rsidR="00C96D4F" w:rsidRPr="00D9488A">
        <w:rPr>
          <w:rFonts w:eastAsia="Times New Roman" w:cs="Times New Roman"/>
          <w:szCs w:val="20"/>
          <w:lang w:val="hr-HR" w:eastAsia="en-GB"/>
        </w:rPr>
        <w:t>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u </w:t>
      </w:r>
      <w:r w:rsidR="00274C45" w:rsidRPr="00D9488A">
        <w:rPr>
          <w:rFonts w:eastAsia="Times New Roman" w:cs="Times New Roman"/>
          <w:szCs w:val="20"/>
          <w:lang w:val="hr-HR" w:eastAsia="en-GB"/>
        </w:rPr>
        <w:t>Aneks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u I. </w:t>
      </w:r>
      <w:r w:rsidR="00574B43" w:rsidRPr="00D9488A">
        <w:rPr>
          <w:rFonts w:eastAsia="Times New Roman" w:cs="Times New Roman"/>
          <w:szCs w:val="20"/>
          <w:lang w:val="hr-HR" w:eastAsia="en-GB"/>
        </w:rPr>
        <w:t>Ako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je potreb</w:t>
      </w:r>
      <w:r w:rsidR="0081439B" w:rsidRPr="00D9488A">
        <w:rPr>
          <w:rFonts w:eastAsia="Times New Roman" w:cs="Times New Roman"/>
          <w:szCs w:val="20"/>
          <w:lang w:val="hr-HR" w:eastAsia="en-GB"/>
        </w:rPr>
        <w:t>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n </w:t>
      </w:r>
      <w:r w:rsidR="0081439B" w:rsidRPr="00D9488A">
        <w:rPr>
          <w:rFonts w:eastAsia="Times New Roman" w:cs="Times New Roman"/>
          <w:szCs w:val="20"/>
          <w:lang w:val="hr-HR" w:eastAsia="en-GB"/>
        </w:rPr>
        <w:lastRenderedPageBreak/>
        <w:t>monitoring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Pr="00D9488A">
        <w:rPr>
          <w:rFonts w:eastAsia="Times New Roman" w:cs="Times New Roman"/>
          <w:szCs w:val="20"/>
          <w:lang w:val="hr-HR" w:eastAsia="en-GB"/>
        </w:rPr>
        <w:t>nivoa vještačk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ih radionuklida, </w:t>
      </w:r>
      <w:r w:rsidR="0081439B" w:rsidRPr="00D9488A">
        <w:rPr>
          <w:rFonts w:eastAsia="Times New Roman" w:cs="Times New Roman"/>
          <w:szCs w:val="20"/>
          <w:lang w:val="hr-HR" w:eastAsia="en-GB"/>
        </w:rPr>
        <w:t>on se obavlja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prema učestalostima navedenim u tab</w:t>
      </w:r>
      <w:r w:rsidR="00274C45" w:rsidRPr="00D9488A">
        <w:rPr>
          <w:rFonts w:eastAsia="Times New Roman" w:cs="Times New Roman"/>
          <w:szCs w:val="20"/>
          <w:lang w:val="hr-HR" w:eastAsia="en-GB"/>
        </w:rPr>
        <w:t>e</w:t>
      </w:r>
      <w:r w:rsidR="00006EA5" w:rsidRPr="00D9488A">
        <w:rPr>
          <w:rFonts w:eastAsia="Times New Roman" w:cs="Times New Roman"/>
          <w:szCs w:val="20"/>
          <w:lang w:val="hr-HR" w:eastAsia="en-GB"/>
        </w:rPr>
        <w:t>li iz t</w:t>
      </w:r>
      <w:r w:rsidR="00274C45" w:rsidRPr="00D9488A">
        <w:rPr>
          <w:rFonts w:eastAsia="Times New Roman" w:cs="Times New Roman"/>
          <w:szCs w:val="20"/>
          <w:lang w:val="hr-HR" w:eastAsia="en-GB"/>
        </w:rPr>
        <w:t>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čke 6. ovog </w:t>
      </w:r>
      <w:r w:rsidR="0081439B" w:rsidRPr="00D9488A">
        <w:rPr>
          <w:rFonts w:eastAsia="Times New Roman" w:cs="Times New Roman"/>
          <w:szCs w:val="20"/>
          <w:lang w:val="hr-HR" w:eastAsia="en-GB"/>
        </w:rPr>
        <w:t>a</w:t>
      </w:r>
      <w:r w:rsidR="00274C45" w:rsidRPr="00D9488A">
        <w:rPr>
          <w:rFonts w:eastAsia="Times New Roman" w:cs="Times New Roman"/>
          <w:szCs w:val="20"/>
          <w:lang w:val="hr-HR" w:eastAsia="en-GB"/>
        </w:rPr>
        <w:t>neks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a. </w:t>
      </w:r>
      <w:r w:rsidR="00274C45" w:rsidRPr="00D9488A">
        <w:rPr>
          <w:rFonts w:eastAsia="Times New Roman" w:cs="Times New Roman"/>
          <w:szCs w:val="20"/>
          <w:lang w:val="hr-HR" w:eastAsia="en-GB"/>
        </w:rPr>
        <w:t>Ako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je potreb</w:t>
      </w:r>
      <w:r w:rsidRPr="00D9488A">
        <w:rPr>
          <w:rFonts w:eastAsia="Times New Roman" w:cs="Times New Roman"/>
          <w:szCs w:val="20"/>
          <w:lang w:val="hr-HR" w:eastAsia="en-GB"/>
        </w:rPr>
        <w:t>a</w:t>
      </w:r>
      <w:r w:rsidR="00006EA5" w:rsidRPr="00D9488A">
        <w:rPr>
          <w:rFonts w:eastAsia="Times New Roman" w:cs="Times New Roman"/>
          <w:szCs w:val="20"/>
          <w:lang w:val="hr-HR" w:eastAsia="en-GB"/>
        </w:rPr>
        <w:t>n</w:t>
      </w:r>
      <w:r w:rsidRPr="00D9488A">
        <w:rPr>
          <w:rFonts w:eastAsia="Times New Roman" w:cs="Times New Roman"/>
          <w:szCs w:val="20"/>
          <w:lang w:val="hr-HR" w:eastAsia="en-GB"/>
        </w:rPr>
        <w:t xml:space="preserve"> monitoring n</w:t>
      </w:r>
      <w:r w:rsidR="002965CD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voa 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prirodnih radionuklida, svaka država članica određuje učestalost </w:t>
      </w:r>
      <w:r w:rsidRPr="00D9488A">
        <w:rPr>
          <w:rFonts w:eastAsia="Times New Roman" w:cs="Times New Roman"/>
          <w:szCs w:val="20"/>
          <w:lang w:val="hr-HR" w:eastAsia="en-GB"/>
        </w:rPr>
        <w:t>monitoring</w:t>
      </w:r>
      <w:r w:rsidR="00006EA5" w:rsidRPr="00D9488A">
        <w:rPr>
          <w:rFonts w:eastAsia="Times New Roman" w:cs="Times New Roman"/>
          <w:szCs w:val="20"/>
          <w:lang w:val="hr-HR" w:eastAsia="en-GB"/>
        </w:rPr>
        <w:t>a ukupne alfa aktivnosti</w:t>
      </w:r>
      <w:r w:rsidR="00C96D4F" w:rsidRPr="00D9488A">
        <w:rPr>
          <w:rFonts w:eastAsia="Times New Roman" w:cs="Times New Roman"/>
          <w:szCs w:val="20"/>
          <w:lang w:val="hr-HR" w:eastAsia="en-GB"/>
        </w:rPr>
        <w:t xml:space="preserve"> ili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ukupne beta aktivnosti ili pojedinačnih prirodnih radionuklida, </w:t>
      </w:r>
      <w:r w:rsidRPr="00D9488A">
        <w:rPr>
          <w:rFonts w:eastAsia="Times New Roman" w:cs="Times New Roman"/>
          <w:szCs w:val="20"/>
          <w:lang w:val="hr-HR" w:eastAsia="en-GB"/>
        </w:rPr>
        <w:t>za</w:t>
      </w:r>
      <w:r w:rsidR="00006EA5" w:rsidRPr="00D9488A">
        <w:rPr>
          <w:rFonts w:eastAsia="Times New Roman" w:cs="Times New Roman"/>
          <w:szCs w:val="20"/>
          <w:lang w:val="hr-HR" w:eastAsia="en-GB"/>
        </w:rPr>
        <w:t>visno o</w:t>
      </w:r>
      <w:r w:rsidRPr="00D9488A">
        <w:rPr>
          <w:rFonts w:eastAsia="Times New Roman" w:cs="Times New Roman"/>
          <w:szCs w:val="20"/>
          <w:lang w:val="hr-HR" w:eastAsia="en-GB"/>
        </w:rPr>
        <w:t>d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strategij</w:t>
      </w:r>
      <w:r w:rsidRPr="00D9488A">
        <w:rPr>
          <w:rFonts w:eastAsia="Times New Roman" w:cs="Times New Roman"/>
          <w:szCs w:val="20"/>
          <w:lang w:val="hr-HR" w:eastAsia="en-GB"/>
        </w:rPr>
        <w:t>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FE331A" w:rsidRPr="00D9488A">
        <w:rPr>
          <w:rFonts w:eastAsia="Times New Roman" w:cs="Times New Roman"/>
          <w:szCs w:val="20"/>
          <w:lang w:val="hr-HR" w:eastAsia="en-GB"/>
        </w:rPr>
        <w:t>ispitivanja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koju je usvojila (u skladu s </w:t>
      </w:r>
      <w:r w:rsidR="00274C45" w:rsidRPr="00D9488A">
        <w:rPr>
          <w:rFonts w:eastAsia="Times New Roman" w:cs="Times New Roman"/>
          <w:szCs w:val="20"/>
          <w:lang w:val="hr-HR" w:eastAsia="en-GB"/>
        </w:rPr>
        <w:t>Aneks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om III). Učestalost </w:t>
      </w:r>
      <w:r w:rsidRPr="00D9488A">
        <w:rPr>
          <w:rFonts w:eastAsia="Times New Roman" w:cs="Times New Roman"/>
          <w:szCs w:val="20"/>
          <w:lang w:val="hr-HR" w:eastAsia="en-GB"/>
        </w:rPr>
        <w:t>monitoringa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može varirati od jedn</w:t>
      </w:r>
      <w:r w:rsidR="00F359C6" w:rsidRPr="00D9488A">
        <w:rPr>
          <w:rFonts w:eastAsia="Times New Roman" w:cs="Times New Roman"/>
          <w:szCs w:val="20"/>
          <w:lang w:val="hr-HR" w:eastAsia="en-GB"/>
        </w:rPr>
        <w:t>e provjere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mjerenj</w:t>
      </w:r>
      <w:r w:rsidR="00F359C6" w:rsidRPr="00D9488A">
        <w:rPr>
          <w:rFonts w:eastAsia="Times New Roman" w:cs="Times New Roman"/>
          <w:szCs w:val="20"/>
          <w:lang w:val="hr-HR" w:eastAsia="en-GB"/>
        </w:rPr>
        <w:t>em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do učestalosti navedenih u tab</w:t>
      </w:r>
      <w:r w:rsidR="00B774B6" w:rsidRPr="00D9488A">
        <w:rPr>
          <w:rFonts w:eastAsia="Times New Roman" w:cs="Times New Roman"/>
          <w:szCs w:val="20"/>
          <w:lang w:val="hr-HR" w:eastAsia="en-GB"/>
        </w:rPr>
        <w:t>e</w:t>
      </w:r>
      <w:r w:rsidR="00006EA5" w:rsidRPr="00D9488A">
        <w:rPr>
          <w:rFonts w:eastAsia="Times New Roman" w:cs="Times New Roman"/>
          <w:szCs w:val="20"/>
          <w:lang w:val="hr-HR" w:eastAsia="en-GB"/>
        </w:rPr>
        <w:t>li iz t</w:t>
      </w:r>
      <w:r w:rsidR="000565ED" w:rsidRPr="00D9488A">
        <w:rPr>
          <w:rFonts w:eastAsia="Times New Roman" w:cs="Times New Roman"/>
          <w:szCs w:val="20"/>
          <w:lang w:val="hr-HR" w:eastAsia="en-GB"/>
        </w:rPr>
        <w:t>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čke 6. ovog </w:t>
      </w:r>
      <w:r w:rsidR="000565ED" w:rsidRPr="00D9488A">
        <w:rPr>
          <w:rFonts w:eastAsia="Times New Roman" w:cs="Times New Roman"/>
          <w:szCs w:val="20"/>
          <w:lang w:val="hr-HR" w:eastAsia="en-GB"/>
        </w:rPr>
        <w:t>a</w:t>
      </w:r>
      <w:r w:rsidR="00274C45" w:rsidRPr="00D9488A">
        <w:rPr>
          <w:rFonts w:eastAsia="Times New Roman" w:cs="Times New Roman"/>
          <w:szCs w:val="20"/>
          <w:lang w:val="hr-HR" w:eastAsia="en-GB"/>
        </w:rPr>
        <w:t>neks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a. </w:t>
      </w:r>
      <w:r w:rsidR="003A125C" w:rsidRPr="00D9488A">
        <w:rPr>
          <w:rFonts w:eastAsia="Times New Roman" w:cs="Times New Roman"/>
          <w:szCs w:val="20"/>
          <w:lang w:val="hr-HR" w:eastAsia="en-GB"/>
        </w:rPr>
        <w:t>K</w:t>
      </w:r>
      <w:r w:rsidR="00006EA5" w:rsidRPr="00D9488A">
        <w:rPr>
          <w:rFonts w:eastAsia="Times New Roman" w:cs="Times New Roman"/>
          <w:szCs w:val="20"/>
          <w:lang w:val="hr-HR" w:eastAsia="en-GB"/>
        </w:rPr>
        <w:t>ada je potrebn</w:t>
      </w:r>
      <w:r w:rsidR="00F359C6" w:rsidRPr="00D9488A">
        <w:rPr>
          <w:rFonts w:eastAsia="Times New Roman" w:cs="Times New Roman"/>
          <w:szCs w:val="20"/>
          <w:lang w:val="hr-HR" w:eastAsia="en-GB"/>
        </w:rPr>
        <w:t>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samo jedn</w:t>
      </w:r>
      <w:r w:rsidR="00F359C6" w:rsidRPr="00D9488A">
        <w:rPr>
          <w:rFonts w:eastAsia="Times New Roman" w:cs="Times New Roman"/>
          <w:szCs w:val="20"/>
          <w:lang w:val="hr-HR" w:eastAsia="en-GB"/>
        </w:rPr>
        <w:t>a provjera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prirodne radioaktivnosti, potrebn</w:t>
      </w:r>
      <w:r w:rsidR="00F359C6" w:rsidRPr="00D9488A">
        <w:rPr>
          <w:rFonts w:eastAsia="Times New Roman" w:cs="Times New Roman"/>
          <w:szCs w:val="20"/>
          <w:lang w:val="hr-HR" w:eastAsia="en-GB"/>
        </w:rPr>
        <w:t>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je </w:t>
      </w:r>
      <w:r w:rsidR="00B774B6" w:rsidRPr="00D9488A">
        <w:rPr>
          <w:rFonts w:eastAsia="Times New Roman" w:cs="Times New Roman"/>
          <w:szCs w:val="20"/>
          <w:lang w:val="hr-HR" w:eastAsia="en-GB"/>
        </w:rPr>
        <w:t>i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ponovn</w:t>
      </w:r>
      <w:r w:rsidR="00F359C6" w:rsidRPr="00D9488A">
        <w:rPr>
          <w:rFonts w:eastAsia="Times New Roman" w:cs="Times New Roman"/>
          <w:szCs w:val="20"/>
          <w:lang w:val="hr-HR" w:eastAsia="en-GB"/>
        </w:rPr>
        <w:t xml:space="preserve">a provjera </w:t>
      </w:r>
      <w:r w:rsidR="00B774B6" w:rsidRPr="00D9488A">
        <w:rPr>
          <w:rFonts w:eastAsia="Times New Roman" w:cs="Times New Roman"/>
          <w:szCs w:val="20"/>
          <w:lang w:val="hr-HR" w:eastAsia="en-GB"/>
        </w:rPr>
        <w:t xml:space="preserve">u najmanjem slučaju </w:t>
      </w:r>
      <w:r w:rsidR="00006EA5" w:rsidRPr="00D9488A">
        <w:rPr>
          <w:rFonts w:eastAsia="Times New Roman" w:cs="Times New Roman"/>
          <w:szCs w:val="20"/>
          <w:lang w:val="hr-HR" w:eastAsia="en-GB"/>
        </w:rPr>
        <w:t>kada se pojave bilo kakve promjene u vezi s</w:t>
      </w:r>
      <w:r w:rsidR="002B3FFB" w:rsidRPr="00D9488A">
        <w:rPr>
          <w:rFonts w:eastAsia="Times New Roman" w:cs="Times New Roman"/>
          <w:szCs w:val="20"/>
          <w:lang w:val="hr-HR" w:eastAsia="en-GB"/>
        </w:rPr>
        <w:t>a snabdijevanjem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koje vjero</w:t>
      </w:r>
      <w:r w:rsidR="002A1724" w:rsidRPr="00D9488A">
        <w:rPr>
          <w:rFonts w:eastAsia="Times New Roman" w:cs="Times New Roman"/>
          <w:szCs w:val="20"/>
          <w:lang w:val="hr-HR" w:eastAsia="en-GB"/>
        </w:rPr>
        <w:t>v</w:t>
      </w:r>
      <w:r w:rsidR="00006EA5" w:rsidRPr="00D9488A">
        <w:rPr>
          <w:rFonts w:eastAsia="Times New Roman" w:cs="Times New Roman"/>
          <w:szCs w:val="20"/>
          <w:lang w:val="hr-HR" w:eastAsia="en-GB"/>
        </w:rPr>
        <w:t>atno ut</w:t>
      </w:r>
      <w:r w:rsidR="002B3FFB" w:rsidRPr="00D9488A">
        <w:rPr>
          <w:rFonts w:eastAsia="Times New Roman" w:cs="Times New Roman"/>
          <w:szCs w:val="20"/>
          <w:lang w:val="hr-HR" w:eastAsia="en-GB"/>
        </w:rPr>
        <w:t>i</w:t>
      </w:r>
      <w:r w:rsidR="00006EA5" w:rsidRPr="00D9488A">
        <w:rPr>
          <w:rFonts w:eastAsia="Times New Roman" w:cs="Times New Roman"/>
          <w:szCs w:val="20"/>
          <w:lang w:val="hr-HR" w:eastAsia="en-GB"/>
        </w:rPr>
        <w:t>ču na koncentracije radionuklida u vodi namijenjenoj za ljudsku potrošnju.</w:t>
      </w:r>
    </w:p>
    <w:p w:rsidR="002B4384" w:rsidRPr="00D9488A" w:rsidRDefault="002B4384" w:rsidP="002B4384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5.   </w:t>
      </w:r>
      <w:r w:rsidR="00B774B6" w:rsidRPr="00D9488A">
        <w:rPr>
          <w:rFonts w:eastAsia="Times New Roman" w:cs="Times New Roman"/>
          <w:szCs w:val="20"/>
          <w:lang w:val="hr-HR" w:eastAsia="en-GB"/>
        </w:rPr>
        <w:t>Pre</w:t>
      </w:r>
      <w:r w:rsidRPr="00D9488A">
        <w:rPr>
          <w:rFonts w:eastAsia="Times New Roman" w:cs="Times New Roman"/>
          <w:szCs w:val="20"/>
          <w:lang w:val="hr-HR" w:eastAsia="en-GB"/>
        </w:rPr>
        <w:t xml:space="preserve">rada vode 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3A125C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Kada je </w:t>
      </w:r>
      <w:r w:rsidR="00B774B6" w:rsidRPr="00D9488A">
        <w:rPr>
          <w:rFonts w:eastAsia="Times New Roman" w:cs="Times New Roman"/>
          <w:szCs w:val="20"/>
          <w:lang w:val="hr-HR" w:eastAsia="en-GB"/>
        </w:rPr>
        <w:t>vod</w:t>
      </w:r>
      <w:r w:rsidR="00961F6A" w:rsidRPr="00D9488A">
        <w:rPr>
          <w:rFonts w:eastAsia="Times New Roman" w:cs="Times New Roman"/>
          <w:szCs w:val="20"/>
          <w:lang w:val="hr-HR" w:eastAsia="en-GB"/>
        </w:rPr>
        <w:t>a</w:t>
      </w:r>
      <w:r w:rsidR="00B774B6" w:rsidRPr="00D9488A">
        <w:rPr>
          <w:rFonts w:eastAsia="Times New Roman" w:cs="Times New Roman"/>
          <w:szCs w:val="20"/>
          <w:lang w:val="hr-HR" w:eastAsia="en-GB"/>
        </w:rPr>
        <w:t xml:space="preserve"> namijenjen</w:t>
      </w:r>
      <w:r w:rsidR="00961F6A" w:rsidRPr="00D9488A">
        <w:rPr>
          <w:rFonts w:eastAsia="Times New Roman" w:cs="Times New Roman"/>
          <w:szCs w:val="20"/>
          <w:lang w:val="hr-HR" w:eastAsia="en-GB"/>
        </w:rPr>
        <w:t>a</w:t>
      </w:r>
      <w:r w:rsidR="00B774B6" w:rsidRPr="00D9488A">
        <w:rPr>
          <w:rFonts w:eastAsia="Times New Roman" w:cs="Times New Roman"/>
          <w:szCs w:val="20"/>
          <w:lang w:val="hr-HR" w:eastAsia="en-GB"/>
        </w:rPr>
        <w:t xml:space="preserve"> za ljudsku potrošnju </w:t>
      </w:r>
      <w:r w:rsidR="00961F6A" w:rsidRPr="00D9488A">
        <w:rPr>
          <w:rFonts w:eastAsia="Times New Roman" w:cs="Times New Roman"/>
          <w:szCs w:val="20"/>
          <w:lang w:val="hr-HR" w:eastAsia="en-GB"/>
        </w:rPr>
        <w:t xml:space="preserve">prerađena </w:t>
      </w:r>
      <w:r w:rsidRPr="00D9488A">
        <w:rPr>
          <w:rFonts w:eastAsia="Times New Roman" w:cs="Times New Roman"/>
          <w:szCs w:val="20"/>
          <w:lang w:val="hr-HR" w:eastAsia="en-GB"/>
        </w:rPr>
        <w:t xml:space="preserve">radi smanjenja </w:t>
      </w:r>
      <w:r w:rsidR="00B774B6" w:rsidRPr="00D9488A">
        <w:rPr>
          <w:rFonts w:eastAsia="Times New Roman" w:cs="Times New Roman"/>
          <w:szCs w:val="20"/>
          <w:lang w:val="hr-HR" w:eastAsia="en-GB"/>
        </w:rPr>
        <w:t>nivoa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radionuklida u</w:t>
      </w:r>
      <w:r w:rsidR="00B774B6" w:rsidRPr="00D9488A">
        <w:rPr>
          <w:rFonts w:eastAsia="Times New Roman" w:cs="Times New Roman"/>
          <w:szCs w:val="20"/>
          <w:lang w:val="hr-HR" w:eastAsia="en-GB"/>
        </w:rPr>
        <w:t xml:space="preserve"> njoj</w:t>
      </w:r>
      <w:r w:rsidRPr="00D9488A">
        <w:rPr>
          <w:rFonts w:eastAsia="Times New Roman" w:cs="Times New Roman"/>
          <w:szCs w:val="20"/>
          <w:lang w:val="hr-HR" w:eastAsia="en-GB"/>
        </w:rPr>
        <w:t xml:space="preserve">, </w:t>
      </w:r>
      <w:r w:rsidR="00B774B6" w:rsidRPr="00D9488A">
        <w:rPr>
          <w:rFonts w:eastAsia="Times New Roman" w:cs="Times New Roman"/>
          <w:szCs w:val="20"/>
          <w:lang w:val="hr-HR" w:eastAsia="en-GB"/>
        </w:rPr>
        <w:t>monitoring se obavlja</w:t>
      </w:r>
      <w:r w:rsidR="003A125C" w:rsidRPr="00D9488A">
        <w:rPr>
          <w:rFonts w:eastAsia="Times New Roman" w:cs="Times New Roman"/>
          <w:szCs w:val="20"/>
          <w:lang w:val="hr-HR" w:eastAsia="en-GB"/>
        </w:rPr>
        <w:t xml:space="preserve"> prema učestalostima navedenim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 tab</w:t>
      </w:r>
      <w:r w:rsidR="003A125C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>li iz t</w:t>
      </w:r>
      <w:r w:rsidR="00B774B6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čke 6. </w:t>
      </w:r>
      <w:r w:rsidR="00B774B6" w:rsidRPr="00D9488A">
        <w:rPr>
          <w:rFonts w:eastAsia="Times New Roman" w:cs="Times New Roman"/>
          <w:szCs w:val="20"/>
          <w:lang w:val="hr-HR" w:eastAsia="en-GB"/>
        </w:rPr>
        <w:t>da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bi se osigurala kontinuirana </w:t>
      </w:r>
      <w:r w:rsidR="00B774B6" w:rsidRPr="00D9488A">
        <w:rPr>
          <w:rFonts w:eastAsia="Times New Roman" w:cs="Times New Roman"/>
          <w:szCs w:val="20"/>
          <w:lang w:val="hr-HR" w:eastAsia="en-GB"/>
        </w:rPr>
        <w:t>efikasnost date prerade</w:t>
      </w:r>
      <w:r w:rsidRPr="00D9488A">
        <w:rPr>
          <w:rFonts w:eastAsia="Times New Roman" w:cs="Times New Roman"/>
          <w:szCs w:val="20"/>
          <w:lang w:val="hr-HR" w:eastAsia="en-GB"/>
        </w:rPr>
        <w:t>.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6.   </w:t>
      </w:r>
      <w:r w:rsidR="008450B8" w:rsidRPr="00D9488A">
        <w:rPr>
          <w:rFonts w:eastAsia="Times New Roman" w:cs="Times New Roman"/>
          <w:szCs w:val="20"/>
          <w:lang w:val="hr-HR" w:eastAsia="en-GB"/>
        </w:rPr>
        <w:t>Minimum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učestalost</w:t>
      </w:r>
      <w:r w:rsidR="00D70D9A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uzorkovanja i analize 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8450B8" w:rsidP="00D70D9A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Minim</w:t>
      </w:r>
      <w:r w:rsidR="00134FBA" w:rsidRPr="00D9488A">
        <w:rPr>
          <w:rFonts w:eastAsia="Times New Roman" w:cs="Times New Roman"/>
          <w:szCs w:val="20"/>
          <w:lang w:val="hr-HR" w:eastAsia="en-GB"/>
        </w:rPr>
        <w:t>um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učestalost</w:t>
      </w:r>
      <w:r w:rsidR="00D70D9A" w:rsidRPr="00D9488A">
        <w:rPr>
          <w:rFonts w:eastAsia="Times New Roman" w:cs="Times New Roman"/>
          <w:szCs w:val="20"/>
          <w:lang w:val="hr-HR" w:eastAsia="en-GB"/>
        </w:rPr>
        <w:t>i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uzorkovanja i analize za </w:t>
      </w:r>
      <w:r w:rsidR="00660182" w:rsidRPr="00D9488A">
        <w:rPr>
          <w:rFonts w:eastAsia="Times New Roman" w:cs="Times New Roman"/>
          <w:szCs w:val="20"/>
          <w:lang w:val="hr-HR" w:eastAsia="en-GB"/>
        </w:rPr>
        <w:t xml:space="preserve">monitoring 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vode namijenjene za ljudsku potrošnju koja se </w:t>
      </w:r>
      <w:r w:rsidRPr="00D9488A">
        <w:rPr>
          <w:rFonts w:eastAsia="Times New Roman" w:cs="Times New Roman"/>
          <w:szCs w:val="20"/>
          <w:lang w:val="hr-HR" w:eastAsia="en-GB"/>
        </w:rPr>
        <w:t>isporučuje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iz distribuci</w:t>
      </w:r>
      <w:r w:rsidR="00D70D9A" w:rsidRPr="00D9488A">
        <w:rPr>
          <w:rFonts w:eastAsia="Times New Roman" w:cs="Times New Roman"/>
          <w:szCs w:val="20"/>
          <w:lang w:val="hr-HR" w:eastAsia="en-GB"/>
        </w:rPr>
        <w:t>one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mreže ili iz cisterne, odnosno koja se </w:t>
      </w:r>
      <w:r w:rsidR="00D70D9A" w:rsidRPr="00D9488A">
        <w:rPr>
          <w:rFonts w:eastAsia="Times New Roman" w:cs="Times New Roman"/>
          <w:szCs w:val="20"/>
          <w:lang w:val="hr-HR" w:eastAsia="en-GB"/>
        </w:rPr>
        <w:t>koristi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u p</w:t>
      </w:r>
      <w:r w:rsidR="00D70D9A" w:rsidRPr="00D9488A">
        <w:rPr>
          <w:rFonts w:eastAsia="Times New Roman" w:cs="Times New Roman"/>
          <w:szCs w:val="20"/>
          <w:lang w:val="hr-HR" w:eastAsia="en-GB"/>
        </w:rPr>
        <w:t>re</w:t>
      </w:r>
      <w:r w:rsidR="00006EA5" w:rsidRPr="00D9488A">
        <w:rPr>
          <w:rFonts w:eastAsia="Times New Roman" w:cs="Times New Roman"/>
          <w:szCs w:val="20"/>
          <w:lang w:val="hr-HR" w:eastAsia="en-GB"/>
        </w:rPr>
        <w:t>duzeću za proizvodnju hrane, određuje se prema sljedećoj tab</w:t>
      </w:r>
      <w:r w:rsidR="003A125C" w:rsidRPr="00D9488A">
        <w:rPr>
          <w:rFonts w:eastAsia="Times New Roman" w:cs="Times New Roman"/>
          <w:szCs w:val="20"/>
          <w:lang w:val="hr-HR" w:eastAsia="en-GB"/>
        </w:rPr>
        <w:t>e</w:t>
      </w:r>
      <w:r w:rsidR="00006EA5" w:rsidRPr="00D9488A">
        <w:rPr>
          <w:rFonts w:eastAsia="Times New Roman" w:cs="Times New Roman"/>
          <w:szCs w:val="20"/>
          <w:lang w:val="hr-HR" w:eastAsia="en-GB"/>
        </w:rPr>
        <w:t>li: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D70D9A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Tab</w:t>
      </w:r>
      <w:r w:rsidR="00DA542C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>la</w:t>
      </w:r>
    </w:p>
    <w:p w:rsidR="002B4384" w:rsidRPr="00D9488A" w:rsidRDefault="002B4384" w:rsidP="00D70D9A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8450B8" w:rsidP="00D70D9A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Minimum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 xml:space="preserve"> učestalost</w:t>
      </w:r>
      <w:r w:rsidR="00D70D9A" w:rsidRPr="00D9488A">
        <w:rPr>
          <w:rFonts w:eastAsia="Times New Roman" w:cs="Times New Roman"/>
          <w:b/>
          <w:szCs w:val="20"/>
          <w:lang w:val="hr-HR" w:eastAsia="en-GB"/>
        </w:rPr>
        <w:t>i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 xml:space="preserve"> uzorkovanja i analize za </w:t>
      </w:r>
      <w:r w:rsidR="00660182" w:rsidRPr="00D9488A">
        <w:rPr>
          <w:rFonts w:eastAsia="Times New Roman" w:cs="Times New Roman"/>
          <w:b/>
          <w:szCs w:val="20"/>
          <w:lang w:val="hr-HR" w:eastAsia="en-GB"/>
        </w:rPr>
        <w:t xml:space="preserve">monitoring 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>vode namijenjene za ljudsku potrošn</w:t>
      </w:r>
      <w:r w:rsidR="00D70D9A" w:rsidRPr="00D9488A">
        <w:rPr>
          <w:rFonts w:eastAsia="Times New Roman" w:cs="Times New Roman"/>
          <w:b/>
          <w:szCs w:val="20"/>
          <w:lang w:val="hr-HR" w:eastAsia="en-GB"/>
        </w:rPr>
        <w:t xml:space="preserve">ju koja se </w:t>
      </w:r>
      <w:r w:rsidR="00134FBA" w:rsidRPr="00D9488A">
        <w:rPr>
          <w:rFonts w:eastAsia="Times New Roman" w:cs="Times New Roman"/>
          <w:b/>
          <w:szCs w:val="20"/>
          <w:lang w:val="hr-HR" w:eastAsia="en-GB"/>
        </w:rPr>
        <w:t>isporučuje</w:t>
      </w:r>
      <w:r w:rsidR="00D70D9A" w:rsidRPr="00D9488A">
        <w:rPr>
          <w:rFonts w:eastAsia="Times New Roman" w:cs="Times New Roman"/>
          <w:b/>
          <w:szCs w:val="20"/>
          <w:lang w:val="hr-HR" w:eastAsia="en-GB"/>
        </w:rPr>
        <w:t xml:space="preserve"> iz distribucione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 xml:space="preserve"> mreže ili iz cisterne, odnosno koja se </w:t>
      </w:r>
      <w:r w:rsidR="00D70D9A" w:rsidRPr="00D9488A">
        <w:rPr>
          <w:rFonts w:eastAsia="Times New Roman" w:cs="Times New Roman"/>
          <w:b/>
          <w:szCs w:val="20"/>
          <w:lang w:val="hr-HR" w:eastAsia="en-GB"/>
        </w:rPr>
        <w:t>koristi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 xml:space="preserve"> u p</w:t>
      </w:r>
      <w:r w:rsidR="00D70D9A" w:rsidRPr="00D9488A">
        <w:rPr>
          <w:rFonts w:eastAsia="Times New Roman" w:cs="Times New Roman"/>
          <w:b/>
          <w:szCs w:val="20"/>
          <w:lang w:val="hr-HR" w:eastAsia="en-GB"/>
        </w:rPr>
        <w:t>re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>duzeću za proizvodnju hrane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tbl>
      <w:tblPr>
        <w:tblW w:w="46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3534"/>
      </w:tblGrid>
      <w:tr w:rsidR="00006EA5" w:rsidRPr="00D9488A" w:rsidTr="000C1E97">
        <w:trPr>
          <w:tblCellSpacing w:w="0" w:type="dxa"/>
        </w:trPr>
        <w:tc>
          <w:tcPr>
            <w:tcW w:w="2851" w:type="pct"/>
            <w:hideMark/>
          </w:tcPr>
          <w:p w:rsidR="00006EA5" w:rsidRPr="00D9488A" w:rsidRDefault="00006EA5" w:rsidP="00843289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Volumen vode koja se distribuira ili proizvodi svakog dana unutar zone </w:t>
            </w:r>
            <w:r w:rsidR="00DA542C" w:rsidRPr="00D9488A">
              <w:rPr>
                <w:rFonts w:eastAsia="Times New Roman" w:cs="Times New Roman"/>
                <w:szCs w:val="20"/>
                <w:lang w:val="hr-HR" w:eastAsia="en-GB"/>
              </w:rPr>
              <w:t>snabdijevanja</w:t>
            </w:r>
          </w:p>
          <w:p w:rsidR="00006EA5" w:rsidRPr="00D9488A" w:rsidRDefault="00006EA5" w:rsidP="00843289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(Napomene 1 i 2)</w:t>
            </w:r>
          </w:p>
          <w:p w:rsidR="00006EA5" w:rsidRPr="00D9488A" w:rsidRDefault="00006EA5" w:rsidP="00843289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m</w:t>
            </w:r>
            <w:r w:rsidRPr="00D9488A">
              <w:rPr>
                <w:rFonts w:eastAsia="Times New Roman" w:cs="Times New Roman"/>
                <w:szCs w:val="20"/>
                <w:vertAlign w:val="superscript"/>
                <w:lang w:val="hr-HR" w:eastAsia="en-GB"/>
              </w:rPr>
              <w:t>3</w:t>
            </w:r>
          </w:p>
        </w:tc>
        <w:tc>
          <w:tcPr>
            <w:tcW w:w="2149" w:type="pct"/>
            <w:hideMark/>
          </w:tcPr>
          <w:p w:rsidR="00006EA5" w:rsidRPr="00D9488A" w:rsidRDefault="00006EA5" w:rsidP="00843289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Broj uzoraka godišnje</w:t>
            </w:r>
          </w:p>
          <w:p w:rsidR="00006EA5" w:rsidRPr="00D9488A" w:rsidRDefault="00006EA5" w:rsidP="00B774B6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(Napomene 3 i 4)</w:t>
            </w:r>
          </w:p>
        </w:tc>
      </w:tr>
      <w:tr w:rsidR="00006EA5" w:rsidRPr="00D9488A" w:rsidTr="000C1E97">
        <w:trPr>
          <w:tblCellSpacing w:w="0" w:type="dxa"/>
        </w:trPr>
        <w:tc>
          <w:tcPr>
            <w:tcW w:w="2851" w:type="pct"/>
            <w:hideMark/>
          </w:tcPr>
          <w:p w:rsidR="00006EA5" w:rsidRPr="00D9488A" w:rsidRDefault="000C1E97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volumen ≤ 100</w:t>
            </w:r>
          </w:p>
        </w:tc>
        <w:tc>
          <w:tcPr>
            <w:tcW w:w="2149" w:type="pct"/>
            <w:hideMark/>
          </w:tcPr>
          <w:p w:rsidR="00006EA5" w:rsidRPr="00D9488A" w:rsidRDefault="000C1E97" w:rsidP="0099250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(Napomena 5)</w:t>
            </w:r>
          </w:p>
        </w:tc>
      </w:tr>
      <w:tr w:rsidR="00006EA5" w:rsidRPr="00D9488A" w:rsidTr="000C1E97">
        <w:trPr>
          <w:tblCellSpacing w:w="0" w:type="dxa"/>
        </w:trPr>
        <w:tc>
          <w:tcPr>
            <w:tcW w:w="2851" w:type="pct"/>
            <w:hideMark/>
          </w:tcPr>
          <w:p w:rsidR="00006EA5" w:rsidRPr="00D9488A" w:rsidRDefault="000C1E97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100 &lt; volumen ≤ 1 000</w:t>
            </w:r>
          </w:p>
        </w:tc>
        <w:tc>
          <w:tcPr>
            <w:tcW w:w="2149" w:type="pct"/>
            <w:hideMark/>
          </w:tcPr>
          <w:p w:rsidR="00006EA5" w:rsidRPr="00D9488A" w:rsidRDefault="000C1E97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1</w:t>
            </w:r>
          </w:p>
        </w:tc>
      </w:tr>
      <w:tr w:rsidR="00006EA5" w:rsidRPr="00D9488A" w:rsidTr="000C1E97">
        <w:trPr>
          <w:tblCellSpacing w:w="0" w:type="dxa"/>
        </w:trPr>
        <w:tc>
          <w:tcPr>
            <w:tcW w:w="2851" w:type="pct"/>
            <w:hideMark/>
          </w:tcPr>
          <w:p w:rsidR="00006EA5" w:rsidRPr="00D9488A" w:rsidRDefault="000C1E97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1 000 &lt; volumen ≤ 10 000</w:t>
            </w:r>
          </w:p>
        </w:tc>
        <w:tc>
          <w:tcPr>
            <w:tcW w:w="2149" w:type="pct"/>
            <w:hideMark/>
          </w:tcPr>
          <w:p w:rsidR="00006EA5" w:rsidRPr="00D9488A" w:rsidRDefault="000C1E97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1</w:t>
            </w:r>
          </w:p>
          <w:p w:rsidR="00006EA5" w:rsidRPr="00D9488A" w:rsidRDefault="000C1E97" w:rsidP="00B774B6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+ 1 za svakih 3</w:t>
            </w:r>
            <w:r w:rsidR="00B774B6" w:rsidRPr="00D9488A">
              <w:rPr>
                <w:rFonts w:eastAsia="Times New Roman" w:cs="Times New Roman"/>
                <w:szCs w:val="20"/>
                <w:lang w:val="hr-HR" w:eastAsia="en-GB"/>
              </w:rPr>
              <w:t>.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300 m</w:t>
            </w:r>
            <w:r w:rsidR="00006EA5" w:rsidRPr="00D9488A">
              <w:rPr>
                <w:rFonts w:eastAsia="Times New Roman" w:cs="Times New Roman"/>
                <w:szCs w:val="20"/>
                <w:vertAlign w:val="superscript"/>
                <w:lang w:val="hr-HR" w:eastAsia="en-GB"/>
              </w:rPr>
              <w:t>3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/d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br/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i njihov dio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u ukupnom volumenu</w:t>
            </w:r>
          </w:p>
        </w:tc>
      </w:tr>
      <w:tr w:rsidR="00006EA5" w:rsidRPr="00D9488A" w:rsidTr="000C1E97">
        <w:trPr>
          <w:tblCellSpacing w:w="0" w:type="dxa"/>
        </w:trPr>
        <w:tc>
          <w:tcPr>
            <w:tcW w:w="2851" w:type="pct"/>
            <w:hideMark/>
          </w:tcPr>
          <w:p w:rsidR="00006EA5" w:rsidRPr="00D9488A" w:rsidRDefault="000C1E97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10 000 &lt; volumen ≤ 100 000</w:t>
            </w:r>
          </w:p>
        </w:tc>
        <w:tc>
          <w:tcPr>
            <w:tcW w:w="2149" w:type="pct"/>
            <w:hideMark/>
          </w:tcPr>
          <w:p w:rsidR="00006EA5" w:rsidRPr="00D9488A" w:rsidRDefault="000C1E97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3</w:t>
            </w:r>
          </w:p>
          <w:p w:rsidR="00006EA5" w:rsidRPr="00D9488A" w:rsidRDefault="000C1E97" w:rsidP="00B774B6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+ 1 za svakih 10</w:t>
            </w:r>
            <w:r w:rsidR="00B774B6" w:rsidRPr="00D9488A">
              <w:rPr>
                <w:rFonts w:eastAsia="Times New Roman" w:cs="Times New Roman"/>
                <w:szCs w:val="20"/>
                <w:lang w:val="hr-HR" w:eastAsia="en-GB"/>
              </w:rPr>
              <w:t>.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000 m</w:t>
            </w:r>
            <w:r w:rsidR="00006EA5" w:rsidRPr="00D9488A">
              <w:rPr>
                <w:rFonts w:eastAsia="Times New Roman" w:cs="Times New Roman"/>
                <w:szCs w:val="20"/>
                <w:vertAlign w:val="superscript"/>
                <w:lang w:val="hr-HR" w:eastAsia="en-GB"/>
              </w:rPr>
              <w:t>3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/d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br/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i njihov dio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u ukupnom volumenu</w:t>
            </w:r>
          </w:p>
        </w:tc>
      </w:tr>
      <w:tr w:rsidR="00006EA5" w:rsidRPr="00D9488A" w:rsidTr="000C1E97">
        <w:trPr>
          <w:tblCellSpacing w:w="0" w:type="dxa"/>
        </w:trPr>
        <w:tc>
          <w:tcPr>
            <w:tcW w:w="2851" w:type="pct"/>
            <w:hideMark/>
          </w:tcPr>
          <w:p w:rsidR="00006EA5" w:rsidRPr="00D9488A" w:rsidRDefault="000C1E97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volumen &gt; 100 000</w:t>
            </w:r>
          </w:p>
        </w:tc>
        <w:tc>
          <w:tcPr>
            <w:tcW w:w="2149" w:type="pct"/>
            <w:hideMark/>
          </w:tcPr>
          <w:p w:rsidR="00006EA5" w:rsidRPr="00D9488A" w:rsidRDefault="000C1E97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10</w:t>
            </w:r>
          </w:p>
          <w:p w:rsidR="00274C45" w:rsidRPr="00D9488A" w:rsidRDefault="000C1E97" w:rsidP="00274C45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+ 1 za svakih 25</w:t>
            </w:r>
            <w:r w:rsidR="00B774B6" w:rsidRPr="00D9488A">
              <w:rPr>
                <w:rFonts w:eastAsia="Times New Roman" w:cs="Times New Roman"/>
                <w:szCs w:val="20"/>
                <w:lang w:val="hr-HR" w:eastAsia="en-GB"/>
              </w:rPr>
              <w:t>.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000 m</w:t>
            </w:r>
            <w:r w:rsidR="00006EA5" w:rsidRPr="00D9488A">
              <w:rPr>
                <w:rFonts w:eastAsia="Times New Roman" w:cs="Times New Roman"/>
                <w:szCs w:val="20"/>
                <w:vertAlign w:val="superscript"/>
                <w:lang w:val="hr-HR" w:eastAsia="en-GB"/>
              </w:rPr>
              <w:t>3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/d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br/>
              <w:t xml:space="preserve">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i njihov dio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u 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ukupno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m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volumen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u</w:t>
            </w:r>
          </w:p>
          <w:p w:rsidR="00274C45" w:rsidRPr="00D9488A" w:rsidRDefault="00274C45" w:rsidP="00274C45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</w:tr>
    </w:tbl>
    <w:p w:rsidR="00274C45" w:rsidRPr="00D9488A" w:rsidRDefault="00274C45">
      <w:pPr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229"/>
      </w:tblGrid>
      <w:tr w:rsidR="00274C45" w:rsidRPr="00D9488A" w:rsidTr="003B783C">
        <w:tc>
          <w:tcPr>
            <w:tcW w:w="1668" w:type="dxa"/>
          </w:tcPr>
          <w:p w:rsidR="00274C45" w:rsidRPr="00D9488A" w:rsidRDefault="00274C45" w:rsidP="006B4925">
            <w:pPr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1:</w:t>
            </w:r>
          </w:p>
        </w:tc>
        <w:tc>
          <w:tcPr>
            <w:tcW w:w="7229" w:type="dxa"/>
          </w:tcPr>
          <w:p w:rsidR="00274C45" w:rsidRPr="00D9488A" w:rsidRDefault="00274C45" w:rsidP="006B4925">
            <w:pPr>
              <w:jc w:val="both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Zona snabdijevanja je geografski definisano područje unutar kojeg voda namijenjena za ljudsku potrošnju dolazi iz jednog ili više izvora </w:t>
            </w:r>
            <w:r w:rsidR="00B774B6" w:rsidRPr="00D9488A">
              <w:rPr>
                <w:rFonts w:eastAsia="Times New Roman" w:cs="Times New Roman"/>
                <w:szCs w:val="20"/>
                <w:lang w:val="hr-HR" w:eastAsia="en-GB"/>
              </w:rPr>
              <w:t>i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unutar kojeg se kvalitet vode može smatrati </w:t>
            </w:r>
            <w:r w:rsidR="00D9488A" w:rsidRPr="00D9488A">
              <w:rPr>
                <w:rFonts w:eastAsia="Times New Roman" w:cs="Times New Roman"/>
                <w:szCs w:val="20"/>
                <w:lang w:val="hr-HR" w:eastAsia="en-GB"/>
              </w:rPr>
              <w:t>približno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ujednačen</w:t>
            </w:r>
            <w:r w:rsidR="00992507" w:rsidRPr="00D9488A">
              <w:rPr>
                <w:rFonts w:eastAsia="Times New Roman" w:cs="Times New Roman"/>
                <w:szCs w:val="20"/>
                <w:lang w:val="hr-HR" w:eastAsia="en-GB"/>
              </w:rPr>
              <w:t>i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m.</w:t>
            </w:r>
          </w:p>
          <w:p w:rsidR="00274C45" w:rsidRPr="00D9488A" w:rsidRDefault="00274C45" w:rsidP="006B4925">
            <w:pPr>
              <w:jc w:val="both"/>
              <w:rPr>
                <w:lang w:val="hr-HR"/>
              </w:rPr>
            </w:pPr>
          </w:p>
        </w:tc>
      </w:tr>
      <w:tr w:rsidR="00274C45" w:rsidRPr="00D9488A" w:rsidTr="003B783C">
        <w:tc>
          <w:tcPr>
            <w:tcW w:w="1668" w:type="dxa"/>
          </w:tcPr>
          <w:p w:rsidR="00274C45" w:rsidRPr="00D9488A" w:rsidRDefault="00274C45" w:rsidP="006B4925">
            <w:pPr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2:</w:t>
            </w:r>
          </w:p>
        </w:tc>
        <w:tc>
          <w:tcPr>
            <w:tcW w:w="7229" w:type="dxa"/>
          </w:tcPr>
          <w:p w:rsidR="00274C45" w:rsidRDefault="00274C45" w:rsidP="00134FBA">
            <w:pPr>
              <w:jc w:val="both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Volumeni se izračunavaju kao prosječne vrijednosti koje se uzimaju t</w:t>
            </w:r>
            <w:r w:rsidR="00992507" w:rsidRPr="00D9488A">
              <w:rPr>
                <w:rFonts w:eastAsia="Times New Roman" w:cs="Times New Roman"/>
                <w:szCs w:val="20"/>
                <w:lang w:val="hr-HR" w:eastAsia="en-GB"/>
              </w:rPr>
              <w:t>o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kom jedne kalendarske godine. Država članica može </w:t>
            </w:r>
            <w:r w:rsidR="00B774B6" w:rsidRPr="00D9488A">
              <w:rPr>
                <w:rFonts w:eastAsia="Times New Roman" w:cs="Times New Roman"/>
                <w:szCs w:val="20"/>
                <w:lang w:val="hr-HR" w:eastAsia="en-GB"/>
              </w:rPr>
              <w:t>koristiti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broj stanovnika u zoni </w:t>
            </w:r>
            <w:r w:rsidR="00B774B6" w:rsidRPr="00D9488A">
              <w:rPr>
                <w:rFonts w:eastAsia="Times New Roman" w:cs="Times New Roman"/>
                <w:szCs w:val="20"/>
                <w:lang w:val="hr-HR" w:eastAsia="en-GB"/>
              </w:rPr>
              <w:t>snabdijevanja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umjesto volumena vode da bi odredila </w:t>
            </w:r>
            <w:r w:rsidR="00134FBA" w:rsidRPr="00D9488A">
              <w:rPr>
                <w:rFonts w:eastAsia="Times New Roman" w:cs="Times New Roman"/>
                <w:szCs w:val="20"/>
                <w:lang w:val="hr-HR" w:eastAsia="en-GB"/>
              </w:rPr>
              <w:t>minimum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učestalost</w:t>
            </w:r>
            <w:r w:rsidR="00134FBA" w:rsidRPr="00D9488A">
              <w:rPr>
                <w:rFonts w:eastAsia="Times New Roman" w:cs="Times New Roman"/>
                <w:szCs w:val="20"/>
                <w:lang w:val="hr-HR" w:eastAsia="en-GB"/>
              </w:rPr>
              <w:t>i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, pod pretpostavkom da potrošnja vode iznosi 200 </w:t>
            </w:r>
            <w:r w:rsidR="00134FBA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po danu po glavi stanovnika.</w:t>
            </w:r>
          </w:p>
          <w:p w:rsidR="00962417" w:rsidRPr="00D9488A" w:rsidRDefault="00962417" w:rsidP="00134FBA">
            <w:pPr>
              <w:jc w:val="both"/>
              <w:rPr>
                <w:lang w:val="hr-HR"/>
              </w:rPr>
            </w:pPr>
          </w:p>
        </w:tc>
      </w:tr>
      <w:tr w:rsidR="00274C45" w:rsidRPr="00D9488A" w:rsidTr="003B783C">
        <w:tc>
          <w:tcPr>
            <w:tcW w:w="1668" w:type="dxa"/>
          </w:tcPr>
          <w:p w:rsidR="00274C45" w:rsidRPr="00D9488A" w:rsidRDefault="00274C45" w:rsidP="006B4925">
            <w:pPr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lastRenderedPageBreak/>
              <w:t>Napomena 3:</w:t>
            </w:r>
          </w:p>
        </w:tc>
        <w:tc>
          <w:tcPr>
            <w:tcW w:w="7229" w:type="dxa"/>
          </w:tcPr>
          <w:p w:rsidR="00274C45" w:rsidRPr="00D9488A" w:rsidRDefault="0000437A" w:rsidP="006B4925">
            <w:pPr>
              <w:jc w:val="both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B</w:t>
            </w:r>
            <w:r w:rsidR="00274C45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roj uzoraka bi trebao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biti vremenski i lokacijski raspoređen</w:t>
            </w:r>
            <w:r w:rsidR="00274C45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što je više moguće</w:t>
            </w:r>
            <w:r w:rsidR="00134FBA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ujednačeno</w:t>
            </w:r>
            <w:r w:rsidR="00274C45" w:rsidRPr="00D9488A">
              <w:rPr>
                <w:rFonts w:eastAsia="Times New Roman" w:cs="Times New Roman"/>
                <w:szCs w:val="20"/>
                <w:lang w:val="hr-HR" w:eastAsia="en-GB"/>
              </w:rPr>
              <w:t>.</w:t>
            </w:r>
          </w:p>
          <w:p w:rsidR="00274C45" w:rsidRPr="00D9488A" w:rsidRDefault="00274C45" w:rsidP="006B4925">
            <w:pPr>
              <w:jc w:val="both"/>
              <w:rPr>
                <w:lang w:val="hr-HR"/>
              </w:rPr>
            </w:pPr>
          </w:p>
        </w:tc>
      </w:tr>
      <w:tr w:rsidR="00274C45" w:rsidRPr="00D9488A" w:rsidTr="003B783C">
        <w:tc>
          <w:tcPr>
            <w:tcW w:w="1668" w:type="dxa"/>
          </w:tcPr>
          <w:p w:rsidR="00274C45" w:rsidRPr="00D9488A" w:rsidRDefault="00274C45" w:rsidP="006B4925">
            <w:pPr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4:</w:t>
            </w:r>
          </w:p>
        </w:tc>
        <w:tc>
          <w:tcPr>
            <w:tcW w:w="7229" w:type="dxa"/>
          </w:tcPr>
          <w:p w:rsidR="00274C45" w:rsidRPr="00D9488A" w:rsidRDefault="00274C45" w:rsidP="00274C45">
            <w:pPr>
              <w:jc w:val="both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U slučaju </w:t>
            </w:r>
            <w:r w:rsidR="00857E5A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kratkotrajnog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snabdijevanja</w:t>
            </w:r>
            <w:r w:rsidR="00857E5A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s prekidima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, država članica određuje učestalost </w:t>
            </w:r>
            <w:r w:rsidR="003B783C" w:rsidRPr="00D9488A">
              <w:rPr>
                <w:rFonts w:eastAsia="Times New Roman" w:cs="Times New Roman"/>
                <w:szCs w:val="20"/>
                <w:lang w:val="hr-HR" w:eastAsia="en-GB"/>
              </w:rPr>
              <w:t>monitoringa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vode koja se distribuira </w:t>
            </w:r>
            <w:r w:rsidR="003B783C" w:rsidRPr="00D9488A">
              <w:rPr>
                <w:rFonts w:eastAsia="Times New Roman" w:cs="Times New Roman"/>
                <w:szCs w:val="20"/>
                <w:lang w:val="hr-HR" w:eastAsia="en-GB"/>
              </w:rPr>
              <w:t>iz cisterni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.</w:t>
            </w:r>
          </w:p>
          <w:p w:rsidR="00274C45" w:rsidRPr="00D9488A" w:rsidRDefault="00274C45" w:rsidP="006B4925">
            <w:pPr>
              <w:rPr>
                <w:lang w:val="hr-HR"/>
              </w:rPr>
            </w:pPr>
          </w:p>
        </w:tc>
      </w:tr>
      <w:tr w:rsidR="00274C45" w:rsidRPr="00D9488A" w:rsidTr="003B783C">
        <w:tc>
          <w:tcPr>
            <w:tcW w:w="1668" w:type="dxa"/>
          </w:tcPr>
          <w:p w:rsidR="00274C45" w:rsidRPr="00D9488A" w:rsidRDefault="00274C45" w:rsidP="006B4925">
            <w:pPr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5:</w:t>
            </w:r>
          </w:p>
        </w:tc>
        <w:tc>
          <w:tcPr>
            <w:tcW w:w="7229" w:type="dxa"/>
          </w:tcPr>
          <w:p w:rsidR="003B783C" w:rsidRPr="00D9488A" w:rsidRDefault="00274C45" w:rsidP="00274C45">
            <w:pPr>
              <w:jc w:val="both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Odluku o učestalosti donosi data država članica. </w:t>
            </w:r>
          </w:p>
          <w:p w:rsidR="00274C45" w:rsidRPr="00D9488A" w:rsidRDefault="00274C45" w:rsidP="00274C45">
            <w:pPr>
              <w:jc w:val="both"/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</w:tr>
      <w:tr w:rsidR="003B783C" w:rsidRPr="00D9488A" w:rsidTr="003B783C">
        <w:tc>
          <w:tcPr>
            <w:tcW w:w="8897" w:type="dxa"/>
            <w:gridSpan w:val="2"/>
          </w:tcPr>
          <w:p w:rsidR="003B783C" w:rsidRPr="00D9488A" w:rsidRDefault="003B783C" w:rsidP="00DA3447">
            <w:pPr>
              <w:jc w:val="both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Države članice određuju učestalost uzorkovanja vode namijenjene za ljudsku potrošnju koja se </w:t>
            </w:r>
            <w:r w:rsidR="001E767C" w:rsidRPr="00D9488A">
              <w:rPr>
                <w:color w:val="1A171C"/>
                <w:szCs w:val="20"/>
                <w:lang w:val="hr-HR"/>
              </w:rPr>
              <w:t>flašira ili stavlja u ambalažu radi prodaje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. Pritom države članice mogu uzeti u obzir volumen </w:t>
            </w:r>
            <w:r w:rsidR="00857E5A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proizvedene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vode.</w:t>
            </w:r>
          </w:p>
        </w:tc>
      </w:tr>
    </w:tbl>
    <w:p w:rsidR="00274C45" w:rsidRPr="00D9488A" w:rsidRDefault="00274C45">
      <w:pPr>
        <w:rPr>
          <w:lang w:val="hr-HR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7.   Uprosječivanje </w:t>
      </w:r>
    </w:p>
    <w:p w:rsidR="00274C45" w:rsidRPr="00D9488A" w:rsidRDefault="00274C45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74C45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Kada je </w:t>
      </w:r>
      <w:r w:rsidR="003B783C" w:rsidRPr="00D9488A">
        <w:rPr>
          <w:rFonts w:eastAsia="Times New Roman" w:cs="Times New Roman"/>
          <w:szCs w:val="20"/>
          <w:lang w:val="hr-HR" w:eastAsia="en-GB"/>
        </w:rPr>
        <w:t xml:space="preserve">vrijednost parametra </w:t>
      </w:r>
      <w:r w:rsidRPr="00D9488A">
        <w:rPr>
          <w:rFonts w:eastAsia="Times New Roman" w:cs="Times New Roman"/>
          <w:szCs w:val="20"/>
          <w:lang w:val="hr-HR" w:eastAsia="en-GB"/>
        </w:rPr>
        <w:t>pre</w:t>
      </w:r>
      <w:r w:rsidR="00274C45" w:rsidRPr="00D9488A">
        <w:rPr>
          <w:rFonts w:eastAsia="Times New Roman" w:cs="Times New Roman"/>
          <w:szCs w:val="20"/>
          <w:lang w:val="hr-HR" w:eastAsia="en-GB"/>
        </w:rPr>
        <w:t>đena</w:t>
      </w:r>
      <w:r w:rsidR="003B783C" w:rsidRPr="00D9488A">
        <w:rPr>
          <w:rFonts w:eastAsia="Times New Roman" w:cs="Times New Roman"/>
          <w:szCs w:val="20"/>
          <w:lang w:val="hr-HR" w:eastAsia="en-GB"/>
        </w:rPr>
        <w:t xml:space="preserve"> u </w:t>
      </w:r>
      <w:r w:rsidR="00857E5A" w:rsidRPr="00D9488A">
        <w:rPr>
          <w:rFonts w:eastAsia="Times New Roman" w:cs="Times New Roman"/>
          <w:szCs w:val="20"/>
          <w:lang w:val="hr-HR" w:eastAsia="en-GB"/>
        </w:rPr>
        <w:t>određenom</w:t>
      </w:r>
      <w:r w:rsidR="003B783C" w:rsidRPr="00D9488A">
        <w:rPr>
          <w:rFonts w:eastAsia="Times New Roman" w:cs="Times New Roman"/>
          <w:szCs w:val="20"/>
          <w:lang w:val="hr-HR" w:eastAsia="en-GB"/>
        </w:rPr>
        <w:t xml:space="preserve"> uzorku</w:t>
      </w:r>
      <w:r w:rsidRPr="00D9488A">
        <w:rPr>
          <w:rFonts w:eastAsia="Times New Roman" w:cs="Times New Roman"/>
          <w:szCs w:val="20"/>
          <w:lang w:val="hr-HR" w:eastAsia="en-GB"/>
        </w:rPr>
        <w:t>, država članica određuje o</w:t>
      </w:r>
      <w:r w:rsidR="007E1F2D" w:rsidRPr="00D9488A">
        <w:rPr>
          <w:rFonts w:eastAsia="Times New Roman" w:cs="Times New Roman"/>
          <w:szCs w:val="20"/>
          <w:lang w:val="hr-HR" w:eastAsia="en-GB"/>
        </w:rPr>
        <w:t>bim</w:t>
      </w:r>
      <w:r w:rsidRPr="00D9488A">
        <w:rPr>
          <w:rFonts w:eastAsia="Times New Roman" w:cs="Times New Roman"/>
          <w:szCs w:val="20"/>
          <w:lang w:val="hr-HR" w:eastAsia="en-GB"/>
        </w:rPr>
        <w:t xml:space="preserve"> ponovnog uzorkovanja potrebnog </w:t>
      </w:r>
      <w:r w:rsidR="001E767C" w:rsidRPr="00D9488A">
        <w:rPr>
          <w:rFonts w:eastAsia="Times New Roman" w:cs="Times New Roman"/>
          <w:szCs w:val="20"/>
          <w:lang w:val="hr-HR" w:eastAsia="en-GB"/>
        </w:rPr>
        <w:t>u cilju</w:t>
      </w:r>
      <w:r w:rsidR="003B783C" w:rsidRPr="00D9488A">
        <w:rPr>
          <w:rFonts w:eastAsia="Times New Roman" w:cs="Times New Roman"/>
          <w:szCs w:val="20"/>
          <w:lang w:val="hr-HR" w:eastAsia="en-GB"/>
        </w:rPr>
        <w:t xml:space="preserve"> osiguranj</w:t>
      </w:r>
      <w:r w:rsidR="001E767C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da </w:t>
      </w:r>
      <w:r w:rsidR="003B783C" w:rsidRPr="00D9488A">
        <w:rPr>
          <w:rFonts w:eastAsia="Times New Roman" w:cs="Times New Roman"/>
          <w:szCs w:val="20"/>
          <w:lang w:val="hr-HR" w:eastAsia="en-GB"/>
        </w:rPr>
        <w:t xml:space="preserve">su </w:t>
      </w:r>
      <w:r w:rsidR="00274C45" w:rsidRPr="00D9488A">
        <w:rPr>
          <w:rFonts w:eastAsia="Times New Roman" w:cs="Times New Roman"/>
          <w:szCs w:val="20"/>
          <w:lang w:val="hr-HR" w:eastAsia="en-GB"/>
        </w:rPr>
        <w:t>iz</w:t>
      </w:r>
      <w:r w:rsidRPr="00D9488A">
        <w:rPr>
          <w:rFonts w:eastAsia="Times New Roman" w:cs="Times New Roman"/>
          <w:szCs w:val="20"/>
          <w:lang w:val="hr-HR" w:eastAsia="en-GB"/>
        </w:rPr>
        <w:t xml:space="preserve">mjerene vrijednosti </w:t>
      </w:r>
      <w:r w:rsidR="003B783C" w:rsidRPr="00D9488A">
        <w:rPr>
          <w:rFonts w:eastAsia="Times New Roman" w:cs="Times New Roman"/>
          <w:szCs w:val="20"/>
          <w:lang w:val="hr-HR" w:eastAsia="en-GB"/>
        </w:rPr>
        <w:t>reprezentativne za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prosječnu koncentraciju aktivnosti za jednu punu godinu.</w:t>
      </w: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</w:p>
    <w:p w:rsidR="002B4384" w:rsidRPr="00D9488A" w:rsidRDefault="002B4384">
      <w:pPr>
        <w:spacing w:after="200" w:line="276" w:lineRule="auto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br w:type="page"/>
      </w:r>
    </w:p>
    <w:p w:rsidR="00006EA5" w:rsidRPr="00D9488A" w:rsidRDefault="002B4384" w:rsidP="002B4384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lastRenderedPageBreak/>
        <w:t>ANEKS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III</w:t>
      </w:r>
    </w:p>
    <w:p w:rsidR="002B4384" w:rsidRPr="00D9488A" w:rsidRDefault="002B4384" w:rsidP="002B4384">
      <w:pPr>
        <w:jc w:val="center"/>
        <w:rPr>
          <w:rFonts w:eastAsia="Times New Roman" w:cs="Times New Roman"/>
          <w:szCs w:val="20"/>
          <w:lang w:val="hr-HR" w:eastAsia="en-GB"/>
        </w:rPr>
      </w:pPr>
    </w:p>
    <w:p w:rsidR="00274F57" w:rsidRPr="00D9488A" w:rsidRDefault="003B783C" w:rsidP="002B4384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>MONITORING</w:t>
      </w:r>
      <w:r w:rsidR="00006EA5" w:rsidRPr="00D9488A">
        <w:rPr>
          <w:rFonts w:eastAsia="Times New Roman" w:cs="Times New Roman"/>
          <w:b/>
          <w:szCs w:val="20"/>
          <w:lang w:val="hr-HR" w:eastAsia="en-GB"/>
        </w:rPr>
        <w:t xml:space="preserve"> INDIKATIVNE DOZE </w:t>
      </w:r>
    </w:p>
    <w:p w:rsidR="00006EA5" w:rsidRPr="00D9488A" w:rsidRDefault="00006EA5" w:rsidP="002B4384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 xml:space="preserve">I </w:t>
      </w:r>
      <w:r w:rsidR="003B783C" w:rsidRPr="00D9488A">
        <w:rPr>
          <w:rFonts w:eastAsia="Times New Roman" w:cs="Times New Roman"/>
          <w:b/>
          <w:szCs w:val="20"/>
          <w:lang w:val="hr-HR" w:eastAsia="en-GB"/>
        </w:rPr>
        <w:t>KARAKTERISTIKE OBAVLJANJA ANALIZA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1.   </w:t>
      </w:r>
      <w:r w:rsidR="002A1724" w:rsidRPr="00D9488A">
        <w:rPr>
          <w:rFonts w:eastAsia="Times New Roman" w:cs="Times New Roman"/>
          <w:szCs w:val="20"/>
          <w:lang w:val="hr-HR" w:eastAsia="en-GB"/>
        </w:rPr>
        <w:t>Monitoring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usklađ</w:t>
      </w:r>
      <w:r w:rsidR="003B783C" w:rsidRPr="00D9488A">
        <w:rPr>
          <w:rFonts w:eastAsia="Times New Roman" w:cs="Times New Roman"/>
          <w:szCs w:val="20"/>
          <w:lang w:val="hr-HR" w:eastAsia="en-GB"/>
        </w:rPr>
        <w:t>enosti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s</w:t>
      </w:r>
      <w:r w:rsidR="003B783C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ID-om 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6E6A02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Države članice mogu koristiti različite pouzdane strategije </w:t>
      </w:r>
      <w:r w:rsidR="00F960BF" w:rsidRPr="00D9488A">
        <w:rPr>
          <w:rFonts w:eastAsia="Times New Roman" w:cs="Times New Roman"/>
          <w:szCs w:val="20"/>
          <w:lang w:val="hr-HR" w:eastAsia="en-GB"/>
        </w:rPr>
        <w:t>ispitivanja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da bi ukazale na prisu</w:t>
      </w:r>
      <w:r w:rsidR="002A1724" w:rsidRPr="00D9488A">
        <w:rPr>
          <w:rFonts w:eastAsia="Times New Roman" w:cs="Times New Roman"/>
          <w:szCs w:val="20"/>
          <w:lang w:val="hr-HR" w:eastAsia="en-GB"/>
        </w:rPr>
        <w:t>s</w:t>
      </w:r>
      <w:r w:rsidRPr="00D9488A">
        <w:rPr>
          <w:rFonts w:eastAsia="Times New Roman" w:cs="Times New Roman"/>
          <w:szCs w:val="20"/>
          <w:lang w:val="hr-HR" w:eastAsia="en-GB"/>
        </w:rPr>
        <w:t>t</w:t>
      </w:r>
      <w:r w:rsidR="002A1724" w:rsidRPr="00D9488A">
        <w:rPr>
          <w:rFonts w:eastAsia="Times New Roman" w:cs="Times New Roman"/>
          <w:szCs w:val="20"/>
          <w:lang w:val="hr-HR" w:eastAsia="en-GB"/>
        </w:rPr>
        <w:t>vo</w:t>
      </w:r>
      <w:r w:rsidRPr="00D9488A">
        <w:rPr>
          <w:rFonts w:eastAsia="Times New Roman" w:cs="Times New Roman"/>
          <w:szCs w:val="20"/>
          <w:lang w:val="hr-HR" w:eastAsia="en-GB"/>
        </w:rPr>
        <w:t xml:space="preserve"> radioaktivnosti u vodi namijenjenoj za ljudsku potrošnju. Te strategije mogu uključivati </w:t>
      </w:r>
      <w:r w:rsidR="00F960BF" w:rsidRPr="00D9488A">
        <w:rPr>
          <w:rFonts w:eastAsia="Times New Roman" w:cs="Times New Roman"/>
          <w:szCs w:val="20"/>
          <w:lang w:val="hr-HR" w:eastAsia="en-GB"/>
        </w:rPr>
        <w:t>ispitivanje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određen</w:t>
      </w:r>
      <w:r w:rsidR="00F960BF" w:rsidRPr="00D9488A">
        <w:rPr>
          <w:rFonts w:eastAsia="Times New Roman" w:cs="Times New Roman"/>
          <w:szCs w:val="20"/>
          <w:lang w:val="hr-HR" w:eastAsia="en-GB"/>
        </w:rPr>
        <w:t>ih</w:t>
      </w:r>
      <w:r w:rsidRPr="00D9488A">
        <w:rPr>
          <w:rFonts w:eastAsia="Times New Roman" w:cs="Times New Roman"/>
          <w:szCs w:val="20"/>
          <w:lang w:val="hr-HR" w:eastAsia="en-GB"/>
        </w:rPr>
        <w:t xml:space="preserve"> r</w:t>
      </w:r>
      <w:r w:rsidR="002A1724" w:rsidRPr="00D9488A">
        <w:rPr>
          <w:rFonts w:eastAsia="Times New Roman" w:cs="Times New Roman"/>
          <w:szCs w:val="20"/>
          <w:lang w:val="hr-HR" w:eastAsia="en-GB"/>
        </w:rPr>
        <w:t>adionuklid</w:t>
      </w:r>
      <w:r w:rsidR="00F960BF" w:rsidRPr="00D9488A">
        <w:rPr>
          <w:rFonts w:eastAsia="Times New Roman" w:cs="Times New Roman"/>
          <w:szCs w:val="20"/>
          <w:lang w:val="hr-HR" w:eastAsia="en-GB"/>
        </w:rPr>
        <w:t>a</w:t>
      </w:r>
      <w:r w:rsidR="009C141D" w:rsidRPr="00D9488A">
        <w:rPr>
          <w:rFonts w:eastAsia="Times New Roman" w:cs="Times New Roman"/>
          <w:szCs w:val="20"/>
          <w:lang w:val="hr-HR" w:eastAsia="en-GB"/>
        </w:rPr>
        <w:t>,</w:t>
      </w:r>
      <w:r w:rsidRPr="00D9488A">
        <w:rPr>
          <w:rFonts w:eastAsia="Times New Roman" w:cs="Times New Roman"/>
          <w:szCs w:val="20"/>
          <w:lang w:val="hr-HR" w:eastAsia="en-GB"/>
        </w:rPr>
        <w:t xml:space="preserve"> pojedinačn</w:t>
      </w:r>
      <w:r w:rsidR="00F960BF" w:rsidRPr="00D9488A">
        <w:rPr>
          <w:rFonts w:eastAsia="Times New Roman" w:cs="Times New Roman"/>
          <w:szCs w:val="20"/>
          <w:lang w:val="hr-HR" w:eastAsia="en-GB"/>
        </w:rPr>
        <w:t>og</w:t>
      </w:r>
      <w:r w:rsidRPr="00D9488A">
        <w:rPr>
          <w:rFonts w:eastAsia="Times New Roman" w:cs="Times New Roman"/>
          <w:szCs w:val="20"/>
          <w:lang w:val="hr-HR" w:eastAsia="en-GB"/>
        </w:rPr>
        <w:t xml:space="preserve"> radionuklid</w:t>
      </w:r>
      <w:r w:rsidR="00F960BF" w:rsidRPr="00D9488A">
        <w:rPr>
          <w:rFonts w:eastAsia="Times New Roman" w:cs="Times New Roman"/>
          <w:szCs w:val="20"/>
          <w:lang w:val="hr-HR" w:eastAsia="en-GB"/>
        </w:rPr>
        <w:t>a</w:t>
      </w:r>
      <w:r w:rsidR="009C141D" w:rsidRPr="00D9488A">
        <w:rPr>
          <w:rFonts w:eastAsia="Times New Roman" w:cs="Times New Roman"/>
          <w:szCs w:val="20"/>
          <w:lang w:val="hr-HR" w:eastAsia="en-GB"/>
        </w:rPr>
        <w:t>,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ukupn</w:t>
      </w:r>
      <w:r w:rsidR="00F960BF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alfa aktivnost</w:t>
      </w:r>
      <w:r w:rsidR="00F960BF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ili ukupn</w:t>
      </w:r>
      <w:r w:rsidR="00F960BF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beta aktivnost</w:t>
      </w:r>
      <w:r w:rsidR="00F960BF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>.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(a)   </w:t>
      </w:r>
      <w:r w:rsidR="00F960BF" w:rsidRPr="00D9488A">
        <w:rPr>
          <w:rFonts w:eastAsia="Times New Roman" w:cs="Times New Roman"/>
          <w:szCs w:val="20"/>
          <w:lang w:val="hr-HR" w:eastAsia="en-GB"/>
        </w:rPr>
        <w:t>Ispitivanje određenih radionuklida ili pojedinačnog radionuklida</w:t>
      </w:r>
    </w:p>
    <w:p w:rsidR="00074B84" w:rsidRPr="00D9488A" w:rsidRDefault="00074B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074B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Ako jedna od koncentracija aktivnosti pre</w:t>
      </w:r>
      <w:r w:rsidR="00696627" w:rsidRPr="00D9488A">
        <w:rPr>
          <w:rFonts w:eastAsia="Times New Roman" w:cs="Times New Roman"/>
          <w:szCs w:val="20"/>
          <w:lang w:val="hr-HR" w:eastAsia="en-GB"/>
        </w:rPr>
        <w:t>lazi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20% odgovarajuće izvedene vrijednosti ili koncentracija tricija pre</w:t>
      </w:r>
      <w:r w:rsidR="00696627" w:rsidRPr="00D9488A">
        <w:rPr>
          <w:rFonts w:eastAsia="Times New Roman" w:cs="Times New Roman"/>
          <w:szCs w:val="20"/>
          <w:lang w:val="hr-HR" w:eastAsia="en-GB"/>
        </w:rPr>
        <w:t>lazi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svoju vrijednost parametra navedenu u </w:t>
      </w:r>
      <w:r w:rsidR="00274C45" w:rsidRPr="00D9488A">
        <w:rPr>
          <w:rFonts w:eastAsia="Times New Roman" w:cs="Times New Roman"/>
          <w:szCs w:val="20"/>
          <w:lang w:val="hr-HR" w:eastAsia="en-GB"/>
        </w:rPr>
        <w:t>Aneks</w:t>
      </w:r>
      <w:r w:rsidRPr="00D9488A">
        <w:rPr>
          <w:rFonts w:eastAsia="Times New Roman" w:cs="Times New Roman"/>
          <w:szCs w:val="20"/>
          <w:lang w:val="hr-HR" w:eastAsia="en-GB"/>
        </w:rPr>
        <w:t xml:space="preserve">u I, potrebna je analiza </w:t>
      </w:r>
      <w:r w:rsidR="00696627" w:rsidRPr="00D9488A">
        <w:rPr>
          <w:rFonts w:eastAsia="Times New Roman" w:cs="Times New Roman"/>
          <w:szCs w:val="20"/>
          <w:lang w:val="hr-HR" w:eastAsia="en-GB"/>
        </w:rPr>
        <w:t xml:space="preserve">na </w:t>
      </w:r>
      <w:r w:rsidRPr="00D9488A">
        <w:rPr>
          <w:rFonts w:eastAsia="Times New Roman" w:cs="Times New Roman"/>
          <w:szCs w:val="20"/>
          <w:lang w:val="hr-HR" w:eastAsia="en-GB"/>
        </w:rPr>
        <w:t>dodatn</w:t>
      </w:r>
      <w:r w:rsidR="00696627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radionuklid</w:t>
      </w:r>
      <w:r w:rsidR="00696627" w:rsidRPr="00D9488A">
        <w:rPr>
          <w:rFonts w:eastAsia="Times New Roman" w:cs="Times New Roman"/>
          <w:szCs w:val="20"/>
          <w:lang w:val="hr-HR" w:eastAsia="en-GB"/>
        </w:rPr>
        <w:t>e</w:t>
      </w:r>
      <w:r w:rsidRPr="00D9488A">
        <w:rPr>
          <w:rFonts w:eastAsia="Times New Roman" w:cs="Times New Roman"/>
          <w:szCs w:val="20"/>
          <w:lang w:val="hr-HR" w:eastAsia="en-GB"/>
        </w:rPr>
        <w:t xml:space="preserve">. </w:t>
      </w:r>
      <w:r w:rsidR="00670D42" w:rsidRPr="00D9488A">
        <w:rPr>
          <w:rFonts w:eastAsia="Times New Roman" w:cs="Times New Roman"/>
          <w:szCs w:val="20"/>
          <w:lang w:val="hr-HR" w:eastAsia="en-GB"/>
        </w:rPr>
        <w:t xml:space="preserve">Države članice određuju koji </w:t>
      </w:r>
      <w:r w:rsidR="003544E1" w:rsidRPr="00D9488A">
        <w:rPr>
          <w:rFonts w:eastAsia="Times New Roman" w:cs="Times New Roman"/>
          <w:szCs w:val="20"/>
          <w:lang w:val="hr-HR" w:eastAsia="en-GB"/>
        </w:rPr>
        <w:t xml:space="preserve">radionuklidi </w:t>
      </w:r>
      <w:r w:rsidR="00670D42" w:rsidRPr="00D9488A">
        <w:rPr>
          <w:rFonts w:eastAsia="Times New Roman" w:cs="Times New Roman"/>
          <w:szCs w:val="20"/>
          <w:lang w:val="hr-HR" w:eastAsia="en-GB"/>
        </w:rPr>
        <w:t xml:space="preserve">će se </w:t>
      </w:r>
      <w:r w:rsidRPr="00D9488A">
        <w:rPr>
          <w:rFonts w:eastAsia="Times New Roman" w:cs="Times New Roman"/>
          <w:szCs w:val="20"/>
          <w:lang w:val="hr-HR" w:eastAsia="en-GB"/>
        </w:rPr>
        <w:t>mjer</w:t>
      </w:r>
      <w:r w:rsidR="00696627" w:rsidRPr="00D9488A">
        <w:rPr>
          <w:rFonts w:eastAsia="Times New Roman" w:cs="Times New Roman"/>
          <w:szCs w:val="20"/>
          <w:lang w:val="hr-HR" w:eastAsia="en-GB"/>
        </w:rPr>
        <w:t>iti</w:t>
      </w:r>
      <w:r w:rsidR="00670D42" w:rsidRPr="00D9488A">
        <w:rPr>
          <w:rFonts w:eastAsia="Times New Roman" w:cs="Times New Roman"/>
          <w:szCs w:val="20"/>
          <w:lang w:val="hr-HR" w:eastAsia="en-GB"/>
        </w:rPr>
        <w:t>,</w:t>
      </w:r>
      <w:r w:rsidRPr="00D9488A">
        <w:rPr>
          <w:rFonts w:eastAsia="Times New Roman" w:cs="Times New Roman"/>
          <w:szCs w:val="20"/>
          <w:lang w:val="hr-HR" w:eastAsia="en-GB"/>
        </w:rPr>
        <w:t xml:space="preserve"> uzimajući u obzir sve relevantne podatke o vjero</w:t>
      </w:r>
      <w:r w:rsidR="00166A0A" w:rsidRPr="00D9488A">
        <w:rPr>
          <w:rFonts w:eastAsia="Times New Roman" w:cs="Times New Roman"/>
          <w:szCs w:val="20"/>
          <w:lang w:val="hr-HR" w:eastAsia="en-GB"/>
        </w:rPr>
        <w:t>v</w:t>
      </w:r>
      <w:r w:rsidRPr="00D9488A">
        <w:rPr>
          <w:rFonts w:eastAsia="Times New Roman" w:cs="Times New Roman"/>
          <w:szCs w:val="20"/>
          <w:lang w:val="hr-HR" w:eastAsia="en-GB"/>
        </w:rPr>
        <w:t>atnim izvorima radioaktivnosti.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(b)   Strategije </w:t>
      </w:r>
      <w:r w:rsidR="00F960BF" w:rsidRPr="00D9488A">
        <w:rPr>
          <w:rFonts w:eastAsia="Times New Roman" w:cs="Times New Roman"/>
          <w:szCs w:val="20"/>
          <w:lang w:val="hr-HR" w:eastAsia="en-GB"/>
        </w:rPr>
        <w:t>ispitivanja ukupne alfa aktivnosti i ukupne beta aktivnosti</w:t>
      </w:r>
    </w:p>
    <w:p w:rsidR="006E6A02" w:rsidRPr="00D9488A" w:rsidRDefault="006E6A02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17E0E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Države članice mogu koristiti strategije </w:t>
      </w:r>
      <w:r w:rsidR="00F960BF" w:rsidRPr="00D9488A">
        <w:rPr>
          <w:rFonts w:eastAsia="Times New Roman" w:cs="Times New Roman"/>
          <w:szCs w:val="20"/>
          <w:lang w:val="hr-HR" w:eastAsia="en-GB"/>
        </w:rPr>
        <w:t>ispitivanja</w:t>
      </w:r>
      <w:r w:rsidR="00BD2495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F960BF" w:rsidRPr="00D9488A">
        <w:rPr>
          <w:rFonts w:eastAsia="Times New Roman" w:cs="Times New Roman"/>
          <w:szCs w:val="20"/>
          <w:lang w:val="hr-HR" w:eastAsia="en-GB"/>
        </w:rPr>
        <w:t>ukupne alfa aktivnosti i ukupne beta aktivnosti</w:t>
      </w:r>
      <w:r w:rsidR="00687EEC" w:rsidRPr="00D9488A">
        <w:rPr>
          <w:rStyle w:val="FootnoteReference"/>
          <w:rFonts w:eastAsia="Times New Roman" w:cs="Times New Roman"/>
          <w:szCs w:val="20"/>
          <w:lang w:val="hr-HR" w:eastAsia="en-GB"/>
        </w:rPr>
        <w:footnoteReference w:id="10"/>
      </w:r>
      <w:hyperlink r:id="rId16" w:anchor="ntr1-L_2013296HR.01001901-E0001" w:history="1"/>
      <w:r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696627" w:rsidRPr="00D9488A">
        <w:rPr>
          <w:rFonts w:eastAsia="Times New Roman" w:cs="Times New Roman"/>
          <w:szCs w:val="20"/>
          <w:lang w:val="hr-HR" w:eastAsia="en-GB"/>
        </w:rPr>
        <w:t>u cilju praćenja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696627" w:rsidRPr="00D9488A">
        <w:rPr>
          <w:rFonts w:eastAsia="Times New Roman" w:cs="Times New Roman"/>
          <w:szCs w:val="20"/>
          <w:lang w:val="hr-HR" w:eastAsia="en-GB"/>
        </w:rPr>
        <w:t xml:space="preserve">vrijednosti </w:t>
      </w:r>
      <w:r w:rsidRPr="00D9488A">
        <w:rPr>
          <w:rFonts w:eastAsia="Times New Roman" w:cs="Times New Roman"/>
          <w:szCs w:val="20"/>
          <w:lang w:val="hr-HR" w:eastAsia="en-GB"/>
        </w:rPr>
        <w:t>parametar</w:t>
      </w:r>
      <w:r w:rsidR="00696627" w:rsidRPr="00D9488A">
        <w:rPr>
          <w:rFonts w:eastAsia="Times New Roman" w:cs="Times New Roman"/>
          <w:szCs w:val="20"/>
          <w:lang w:val="hr-HR" w:eastAsia="en-GB"/>
        </w:rPr>
        <w:t>skog indikatora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za ID.</w:t>
      </w:r>
    </w:p>
    <w:p w:rsidR="00074B84" w:rsidRPr="00D9488A" w:rsidRDefault="00074B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696627" w:rsidP="00074B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U ovu svrhu se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utvrđuj</w:t>
      </w:r>
      <w:r w:rsidR="007E2A60" w:rsidRPr="00D9488A">
        <w:rPr>
          <w:rFonts w:eastAsia="Times New Roman" w:cs="Times New Roman"/>
          <w:szCs w:val="20"/>
          <w:lang w:val="hr-HR" w:eastAsia="en-GB"/>
        </w:rPr>
        <w:t>u</w:t>
      </w:r>
      <w:r w:rsidR="00F957CC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Pr="00D9488A">
        <w:rPr>
          <w:rFonts w:eastAsia="Times New Roman" w:cs="Times New Roman"/>
          <w:szCs w:val="20"/>
          <w:lang w:val="hr-HR" w:eastAsia="en-GB"/>
        </w:rPr>
        <w:t>nivo</w:t>
      </w:r>
      <w:r w:rsidR="007E2A60" w:rsidRPr="00D9488A">
        <w:rPr>
          <w:rFonts w:eastAsia="Times New Roman" w:cs="Times New Roman"/>
          <w:szCs w:val="20"/>
          <w:lang w:val="hr-HR" w:eastAsia="en-GB"/>
        </w:rPr>
        <w:t>i</w:t>
      </w:r>
      <w:r w:rsidR="00251FCD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2F2F22" w:rsidRPr="00D9488A">
        <w:rPr>
          <w:rFonts w:eastAsia="Times New Roman" w:cs="Times New Roman"/>
          <w:szCs w:val="20"/>
          <w:lang w:val="hr-HR" w:eastAsia="en-GB"/>
        </w:rPr>
        <w:t xml:space="preserve">koji se </w:t>
      </w:r>
      <w:r w:rsidR="001E7288" w:rsidRPr="00D9488A">
        <w:rPr>
          <w:rFonts w:eastAsia="Times New Roman" w:cs="Times New Roman"/>
          <w:szCs w:val="20"/>
          <w:lang w:val="hr-HR" w:eastAsia="en-GB"/>
        </w:rPr>
        <w:t>provjeravaju</w:t>
      </w:r>
      <w:r w:rsidR="002F2F22" w:rsidRPr="00D9488A">
        <w:rPr>
          <w:rFonts w:eastAsia="Times New Roman" w:cs="Times New Roman"/>
          <w:szCs w:val="20"/>
          <w:lang w:val="hr-HR" w:eastAsia="en-GB"/>
        </w:rPr>
        <w:t xml:space="preserve"> za </w:t>
      </w:r>
      <w:r w:rsidR="00006EA5" w:rsidRPr="00D9488A">
        <w:rPr>
          <w:rFonts w:eastAsia="Times New Roman" w:cs="Times New Roman"/>
          <w:szCs w:val="20"/>
          <w:lang w:val="hr-HR" w:eastAsia="en-GB"/>
        </w:rPr>
        <w:t>ukupn</w:t>
      </w:r>
      <w:r w:rsidR="002F2F22" w:rsidRPr="00D9488A">
        <w:rPr>
          <w:rFonts w:eastAsia="Times New Roman" w:cs="Times New Roman"/>
          <w:szCs w:val="20"/>
          <w:lang w:val="hr-HR" w:eastAsia="en-GB"/>
        </w:rPr>
        <w:t>u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alfa aktivnost ili ukupn</w:t>
      </w:r>
      <w:r w:rsidR="002F2F22" w:rsidRPr="00D9488A">
        <w:rPr>
          <w:rFonts w:eastAsia="Times New Roman" w:cs="Times New Roman"/>
          <w:szCs w:val="20"/>
          <w:lang w:val="hr-HR" w:eastAsia="en-GB"/>
        </w:rPr>
        <w:t>u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beta aktivnost. Preporuč</w:t>
      </w:r>
      <w:r w:rsidR="00487F11" w:rsidRPr="00D9488A">
        <w:rPr>
          <w:rFonts w:eastAsia="Times New Roman" w:cs="Times New Roman"/>
          <w:szCs w:val="20"/>
          <w:lang w:val="hr-HR" w:eastAsia="en-GB"/>
        </w:rPr>
        <w:t>eni</w:t>
      </w:r>
      <w:r w:rsidR="00F957CC" w:rsidRPr="00D9488A">
        <w:rPr>
          <w:rFonts w:eastAsia="Times New Roman" w:cs="Times New Roman"/>
          <w:szCs w:val="20"/>
          <w:lang w:val="hr-HR" w:eastAsia="en-GB"/>
        </w:rPr>
        <w:t xml:space="preserve"> nivo </w:t>
      </w:r>
      <w:r w:rsidR="002232C7" w:rsidRPr="00D9488A">
        <w:rPr>
          <w:rFonts w:eastAsia="Times New Roman" w:cs="Times New Roman"/>
          <w:szCs w:val="20"/>
          <w:lang w:val="hr-HR" w:eastAsia="en-GB"/>
        </w:rPr>
        <w:t xml:space="preserve">koji se </w:t>
      </w:r>
      <w:r w:rsidR="001E7288" w:rsidRPr="00D9488A">
        <w:rPr>
          <w:rFonts w:eastAsia="Times New Roman" w:cs="Times New Roman"/>
          <w:szCs w:val="20"/>
          <w:lang w:val="hr-HR" w:eastAsia="en-GB"/>
        </w:rPr>
        <w:t>provjerava</w:t>
      </w:r>
      <w:r w:rsidR="002232C7" w:rsidRPr="00D9488A">
        <w:rPr>
          <w:rFonts w:eastAsia="Times New Roman" w:cs="Times New Roman"/>
          <w:szCs w:val="20"/>
          <w:lang w:val="hr-HR" w:eastAsia="en-GB"/>
        </w:rPr>
        <w:t xml:space="preserve"> za ukupnu </w:t>
      </w:r>
      <w:r w:rsidR="004036C7" w:rsidRPr="00D9488A">
        <w:rPr>
          <w:rFonts w:eastAsia="Times New Roman" w:cs="Times New Roman"/>
          <w:szCs w:val="20"/>
          <w:lang w:val="hr-HR" w:eastAsia="en-GB"/>
        </w:rPr>
        <w:t>alfa aktivnost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487F11" w:rsidRPr="00D9488A">
        <w:rPr>
          <w:rFonts w:eastAsia="Times New Roman" w:cs="Times New Roman"/>
          <w:szCs w:val="20"/>
          <w:lang w:val="hr-HR" w:eastAsia="en-GB"/>
        </w:rPr>
        <w:t>je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0,1 Bq/</w:t>
      </w:r>
      <w:r w:rsidR="00BD2495" w:rsidRPr="00D9488A">
        <w:rPr>
          <w:rFonts w:eastAsia="Times New Roman" w:cs="Times New Roman"/>
          <w:szCs w:val="20"/>
          <w:lang w:val="hr-HR" w:eastAsia="en-GB"/>
        </w:rPr>
        <w:t>L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. </w:t>
      </w:r>
      <w:r w:rsidR="00487F11" w:rsidRPr="00D9488A">
        <w:rPr>
          <w:rFonts w:eastAsia="Times New Roman" w:cs="Times New Roman"/>
          <w:szCs w:val="20"/>
          <w:lang w:val="hr-HR" w:eastAsia="en-GB"/>
        </w:rPr>
        <w:t xml:space="preserve">Preporučeni nivo </w:t>
      </w:r>
      <w:r w:rsidR="002232C7" w:rsidRPr="00D9488A">
        <w:rPr>
          <w:rFonts w:eastAsia="Times New Roman" w:cs="Times New Roman"/>
          <w:szCs w:val="20"/>
          <w:lang w:val="hr-HR" w:eastAsia="en-GB"/>
        </w:rPr>
        <w:t xml:space="preserve">koji se </w:t>
      </w:r>
      <w:r w:rsidR="001E7288" w:rsidRPr="00D9488A">
        <w:rPr>
          <w:rFonts w:eastAsia="Times New Roman" w:cs="Times New Roman"/>
          <w:szCs w:val="20"/>
          <w:lang w:val="hr-HR" w:eastAsia="en-GB"/>
        </w:rPr>
        <w:t>provjerava</w:t>
      </w:r>
      <w:r w:rsidR="002232C7" w:rsidRPr="00D9488A">
        <w:rPr>
          <w:rFonts w:eastAsia="Times New Roman" w:cs="Times New Roman"/>
          <w:szCs w:val="20"/>
          <w:lang w:val="hr-HR" w:eastAsia="en-GB"/>
        </w:rPr>
        <w:t xml:space="preserve"> za ukupnu</w:t>
      </w:r>
      <w:r w:rsidR="004036C7" w:rsidRPr="00D9488A">
        <w:rPr>
          <w:rFonts w:eastAsia="Times New Roman" w:cs="Times New Roman"/>
          <w:szCs w:val="20"/>
          <w:lang w:val="hr-HR" w:eastAsia="en-GB"/>
        </w:rPr>
        <w:t xml:space="preserve"> beta aktivnost</w:t>
      </w:r>
      <w:r w:rsidR="00487F11" w:rsidRPr="00D9488A">
        <w:rPr>
          <w:rFonts w:eastAsia="Times New Roman" w:cs="Times New Roman"/>
          <w:szCs w:val="20"/>
          <w:lang w:val="hr-HR" w:eastAsia="en-GB"/>
        </w:rPr>
        <w:t xml:space="preserve"> je </w:t>
      </w:r>
      <w:r w:rsidR="00BD2495" w:rsidRPr="00D9488A">
        <w:rPr>
          <w:rFonts w:eastAsia="Times New Roman" w:cs="Times New Roman"/>
          <w:szCs w:val="20"/>
          <w:lang w:val="hr-HR" w:eastAsia="en-GB"/>
        </w:rPr>
        <w:t>1,0 Bq/L</w:t>
      </w:r>
      <w:r w:rsidR="00006EA5" w:rsidRPr="00D9488A">
        <w:rPr>
          <w:rFonts w:eastAsia="Times New Roman" w:cs="Times New Roman"/>
          <w:szCs w:val="20"/>
          <w:lang w:val="hr-HR" w:eastAsia="en-GB"/>
        </w:rPr>
        <w:t>.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074B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Ako su ukupna alfa aktivnost i ukupna beta aktivnost niže od 0,1 Bq/</w:t>
      </w:r>
      <w:r w:rsidR="00BD2495" w:rsidRPr="00D9488A">
        <w:rPr>
          <w:rFonts w:eastAsia="Times New Roman" w:cs="Times New Roman"/>
          <w:szCs w:val="20"/>
          <w:lang w:val="hr-HR" w:eastAsia="en-GB"/>
        </w:rPr>
        <w:t>L,</w:t>
      </w:r>
      <w:r w:rsidRPr="00D9488A">
        <w:rPr>
          <w:rFonts w:eastAsia="Times New Roman" w:cs="Times New Roman"/>
          <w:szCs w:val="20"/>
          <w:lang w:val="hr-HR" w:eastAsia="en-GB"/>
        </w:rPr>
        <w:t xml:space="preserve"> odnosno 1,0 Bq/</w:t>
      </w:r>
      <w:r w:rsidR="00BD2495" w:rsidRPr="00D9488A">
        <w:rPr>
          <w:rFonts w:eastAsia="Times New Roman" w:cs="Times New Roman"/>
          <w:szCs w:val="20"/>
          <w:lang w:val="hr-HR" w:eastAsia="en-GB"/>
        </w:rPr>
        <w:t>L</w:t>
      </w:r>
      <w:r w:rsidRPr="00D9488A">
        <w:rPr>
          <w:rFonts w:eastAsia="Times New Roman" w:cs="Times New Roman"/>
          <w:szCs w:val="20"/>
          <w:lang w:val="hr-HR" w:eastAsia="en-GB"/>
        </w:rPr>
        <w:t xml:space="preserve">, država članica može pretpostaviti da je ID </w:t>
      </w:r>
      <w:r w:rsidR="00696627" w:rsidRPr="00D9488A">
        <w:rPr>
          <w:rFonts w:eastAsia="Times New Roman" w:cs="Times New Roman"/>
          <w:szCs w:val="20"/>
          <w:lang w:val="hr-HR" w:eastAsia="en-GB"/>
        </w:rPr>
        <w:t>manj</w:t>
      </w:r>
      <w:r w:rsidR="00B449BA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od vrijednosti parametra od 0,1 mSv i u tom slučaju nije potrebno radiološko ispitivanje osim ako je iz drugih izvora podataka poznato da su u vodi prisutni pojedini radionuklidi koji mogu </w:t>
      </w:r>
      <w:r w:rsidR="002D76BB" w:rsidRPr="00D9488A">
        <w:rPr>
          <w:rFonts w:eastAsia="Times New Roman" w:cs="Times New Roman"/>
          <w:szCs w:val="20"/>
          <w:lang w:val="hr-HR" w:eastAsia="en-GB"/>
        </w:rPr>
        <w:t xml:space="preserve">biti uzrok </w:t>
      </w:r>
      <w:r w:rsidRPr="00D9488A">
        <w:rPr>
          <w:rFonts w:eastAsia="Times New Roman" w:cs="Times New Roman"/>
          <w:szCs w:val="20"/>
          <w:lang w:val="hr-HR" w:eastAsia="en-GB"/>
        </w:rPr>
        <w:t>da ID pre</w:t>
      </w:r>
      <w:r w:rsidR="002D76BB" w:rsidRPr="00D9488A">
        <w:rPr>
          <w:rFonts w:eastAsia="Times New Roman" w:cs="Times New Roman"/>
          <w:szCs w:val="20"/>
          <w:lang w:val="hr-HR" w:eastAsia="en-GB"/>
        </w:rPr>
        <w:t>đe</w:t>
      </w:r>
      <w:r w:rsidRPr="00D9488A">
        <w:rPr>
          <w:rFonts w:eastAsia="Times New Roman" w:cs="Times New Roman"/>
          <w:szCs w:val="20"/>
          <w:lang w:val="hr-HR" w:eastAsia="en-GB"/>
        </w:rPr>
        <w:t xml:space="preserve"> vrijednost od 0,1 mSv.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B43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Ako ukupna alfa aktivnost pre</w:t>
      </w:r>
      <w:r w:rsidR="00696627" w:rsidRPr="00D9488A">
        <w:rPr>
          <w:rFonts w:eastAsia="Times New Roman" w:cs="Times New Roman"/>
          <w:szCs w:val="20"/>
          <w:lang w:val="hr-HR" w:eastAsia="en-GB"/>
        </w:rPr>
        <w:t>lazi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0,1 Bq/</w:t>
      </w:r>
      <w:r w:rsidR="00BD2495" w:rsidRPr="00D9488A">
        <w:rPr>
          <w:rFonts w:eastAsia="Times New Roman" w:cs="Times New Roman"/>
          <w:szCs w:val="20"/>
          <w:lang w:val="hr-HR" w:eastAsia="en-GB"/>
        </w:rPr>
        <w:t>L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ili ukupna beta aktivnost pre</w:t>
      </w:r>
      <w:r w:rsidR="00696627" w:rsidRPr="00D9488A">
        <w:rPr>
          <w:rFonts w:eastAsia="Times New Roman" w:cs="Times New Roman"/>
          <w:szCs w:val="20"/>
          <w:lang w:val="hr-HR" w:eastAsia="en-GB"/>
        </w:rPr>
        <w:t>lazi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1,0 Bq/</w:t>
      </w:r>
      <w:r w:rsidR="00BD2495" w:rsidRPr="00D9488A">
        <w:rPr>
          <w:rFonts w:eastAsia="Times New Roman" w:cs="Times New Roman"/>
          <w:szCs w:val="20"/>
          <w:lang w:val="hr-HR" w:eastAsia="en-GB"/>
        </w:rPr>
        <w:t>L</w:t>
      </w:r>
      <w:r w:rsidRPr="00D9488A">
        <w:rPr>
          <w:rFonts w:eastAsia="Times New Roman" w:cs="Times New Roman"/>
          <w:szCs w:val="20"/>
          <w:lang w:val="hr-HR" w:eastAsia="en-GB"/>
        </w:rPr>
        <w:t xml:space="preserve">, potrebna je analiza </w:t>
      </w:r>
      <w:r w:rsidR="00696627" w:rsidRPr="00D9488A">
        <w:rPr>
          <w:rFonts w:eastAsia="Times New Roman" w:cs="Times New Roman"/>
          <w:szCs w:val="20"/>
          <w:lang w:val="hr-HR" w:eastAsia="en-GB"/>
        </w:rPr>
        <w:t xml:space="preserve">na </w:t>
      </w:r>
      <w:r w:rsidRPr="00D9488A">
        <w:rPr>
          <w:rFonts w:eastAsia="Times New Roman" w:cs="Times New Roman"/>
          <w:szCs w:val="20"/>
          <w:lang w:val="hr-HR" w:eastAsia="en-GB"/>
        </w:rPr>
        <w:t>pojedin</w:t>
      </w:r>
      <w:r w:rsidR="00696627" w:rsidRPr="00D9488A">
        <w:rPr>
          <w:rFonts w:eastAsia="Times New Roman" w:cs="Times New Roman"/>
          <w:szCs w:val="20"/>
          <w:lang w:val="hr-HR" w:eastAsia="en-GB"/>
        </w:rPr>
        <w:t>e radionuklide</w:t>
      </w:r>
      <w:r w:rsidRPr="00D9488A">
        <w:rPr>
          <w:rFonts w:eastAsia="Times New Roman" w:cs="Times New Roman"/>
          <w:szCs w:val="20"/>
          <w:lang w:val="hr-HR" w:eastAsia="en-GB"/>
        </w:rPr>
        <w:t>.</w:t>
      </w:r>
    </w:p>
    <w:p w:rsidR="002B4384" w:rsidRPr="00D9488A" w:rsidRDefault="002B4384" w:rsidP="002B4384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B43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Države članice mogu utvrditi alternativn</w:t>
      </w:r>
      <w:r w:rsidR="00696627" w:rsidRPr="00D9488A">
        <w:rPr>
          <w:rFonts w:eastAsia="Times New Roman" w:cs="Times New Roman"/>
          <w:szCs w:val="20"/>
          <w:lang w:val="hr-HR" w:eastAsia="en-GB"/>
        </w:rPr>
        <w:t>e</w:t>
      </w:r>
      <w:r w:rsidR="005323E5" w:rsidRPr="00D9488A">
        <w:rPr>
          <w:rFonts w:eastAsia="Times New Roman" w:cs="Times New Roman"/>
          <w:szCs w:val="20"/>
          <w:lang w:val="hr-HR" w:eastAsia="en-GB"/>
        </w:rPr>
        <w:t xml:space="preserve"> nivo</w:t>
      </w:r>
      <w:r w:rsidR="00525C02" w:rsidRPr="00D9488A">
        <w:rPr>
          <w:rFonts w:eastAsia="Times New Roman" w:cs="Times New Roman"/>
          <w:szCs w:val="20"/>
          <w:lang w:val="hr-HR" w:eastAsia="en-GB"/>
        </w:rPr>
        <w:t>e</w:t>
      </w:r>
      <w:r w:rsidR="00251FCD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5617C5" w:rsidRPr="00D9488A">
        <w:rPr>
          <w:rFonts w:eastAsia="Times New Roman" w:cs="Times New Roman"/>
          <w:szCs w:val="20"/>
          <w:lang w:val="hr-HR" w:eastAsia="en-GB"/>
        </w:rPr>
        <w:t xml:space="preserve">koji se </w:t>
      </w:r>
      <w:r w:rsidR="001E7288" w:rsidRPr="00D9488A">
        <w:rPr>
          <w:rFonts w:eastAsia="Times New Roman" w:cs="Times New Roman"/>
          <w:szCs w:val="20"/>
          <w:lang w:val="hr-HR" w:eastAsia="en-GB"/>
        </w:rPr>
        <w:t>provjeravaju</w:t>
      </w:r>
      <w:r w:rsidR="005617C5" w:rsidRPr="00D9488A">
        <w:rPr>
          <w:rFonts w:eastAsia="Times New Roman" w:cs="Times New Roman"/>
          <w:szCs w:val="20"/>
          <w:lang w:val="hr-HR" w:eastAsia="en-GB"/>
        </w:rPr>
        <w:t xml:space="preserve"> za </w:t>
      </w:r>
      <w:r w:rsidRPr="00D9488A">
        <w:rPr>
          <w:rFonts w:eastAsia="Times New Roman" w:cs="Times New Roman"/>
          <w:szCs w:val="20"/>
          <w:lang w:val="hr-HR" w:eastAsia="en-GB"/>
        </w:rPr>
        <w:t>ukupn</w:t>
      </w:r>
      <w:r w:rsidR="00251FCD" w:rsidRPr="00D9488A">
        <w:rPr>
          <w:rFonts w:eastAsia="Times New Roman" w:cs="Times New Roman"/>
          <w:szCs w:val="20"/>
          <w:lang w:val="hr-HR" w:eastAsia="en-GB"/>
        </w:rPr>
        <w:t>u</w:t>
      </w:r>
      <w:r w:rsidRPr="00D9488A">
        <w:rPr>
          <w:rFonts w:eastAsia="Times New Roman" w:cs="Times New Roman"/>
          <w:szCs w:val="20"/>
          <w:lang w:val="hr-HR" w:eastAsia="en-GB"/>
        </w:rPr>
        <w:t xml:space="preserve"> alfa aktivnost i ukupn</w:t>
      </w:r>
      <w:r w:rsidR="00251FCD" w:rsidRPr="00D9488A">
        <w:rPr>
          <w:rFonts w:eastAsia="Times New Roman" w:cs="Times New Roman"/>
          <w:szCs w:val="20"/>
          <w:lang w:val="hr-HR" w:eastAsia="en-GB"/>
        </w:rPr>
        <w:t>u</w:t>
      </w:r>
      <w:r w:rsidRPr="00D9488A">
        <w:rPr>
          <w:rFonts w:eastAsia="Times New Roman" w:cs="Times New Roman"/>
          <w:szCs w:val="20"/>
          <w:lang w:val="hr-HR" w:eastAsia="en-GB"/>
        </w:rPr>
        <w:t xml:space="preserve"> beta aktivnost kada mogu dokazati da su t</w:t>
      </w:r>
      <w:r w:rsidR="005323E5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alternativn</w:t>
      </w:r>
      <w:r w:rsidR="005323E5" w:rsidRPr="00D9488A">
        <w:rPr>
          <w:rFonts w:eastAsia="Times New Roman" w:cs="Times New Roman"/>
          <w:szCs w:val="20"/>
          <w:lang w:val="hr-HR" w:eastAsia="en-GB"/>
        </w:rPr>
        <w:t>i nivoi usklađeni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s ID-om od 0,1 mSv.</w:t>
      </w:r>
    </w:p>
    <w:p w:rsidR="002B4384" w:rsidRPr="00D9488A" w:rsidRDefault="002B4384" w:rsidP="002B4384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251FCD" w:rsidP="002B43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Države članice određuju </w:t>
      </w:r>
      <w:r w:rsidR="00006EA5" w:rsidRPr="00D9488A">
        <w:rPr>
          <w:rFonts w:eastAsia="Times New Roman" w:cs="Times New Roman"/>
          <w:szCs w:val="20"/>
          <w:lang w:val="hr-HR" w:eastAsia="en-GB"/>
        </w:rPr>
        <w:t>koj</w:t>
      </w:r>
      <w:r w:rsidRPr="00D9488A">
        <w:rPr>
          <w:rFonts w:eastAsia="Times New Roman" w:cs="Times New Roman"/>
          <w:szCs w:val="20"/>
          <w:lang w:val="hr-HR" w:eastAsia="en-GB"/>
        </w:rPr>
        <w:t>i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Pr="00D9488A">
        <w:rPr>
          <w:rFonts w:eastAsia="Times New Roman" w:cs="Times New Roman"/>
          <w:szCs w:val="20"/>
          <w:lang w:val="hr-HR" w:eastAsia="en-GB"/>
        </w:rPr>
        <w:t xml:space="preserve">radionuklidi </w:t>
      </w:r>
      <w:r w:rsidR="00696627" w:rsidRPr="00D9488A">
        <w:rPr>
          <w:rFonts w:eastAsia="Times New Roman" w:cs="Times New Roman"/>
          <w:szCs w:val="20"/>
          <w:lang w:val="hr-HR" w:eastAsia="en-GB"/>
        </w:rPr>
        <w:t>će se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mjeriti</w:t>
      </w:r>
      <w:r w:rsidRPr="00D9488A">
        <w:rPr>
          <w:rFonts w:eastAsia="Times New Roman" w:cs="Times New Roman"/>
          <w:szCs w:val="20"/>
          <w:lang w:val="hr-HR" w:eastAsia="en-GB"/>
        </w:rPr>
        <w:t>,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uzimajući u obzir sve relevantne informacije o vjero</w:t>
      </w:r>
      <w:r w:rsidR="00696627" w:rsidRPr="00D9488A">
        <w:rPr>
          <w:rFonts w:eastAsia="Times New Roman" w:cs="Times New Roman"/>
          <w:szCs w:val="20"/>
          <w:lang w:val="hr-HR" w:eastAsia="en-GB"/>
        </w:rPr>
        <w:t>v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atnim izvorima radioaktivnosti. </w:t>
      </w:r>
      <w:r w:rsidR="00696627" w:rsidRPr="00D9488A">
        <w:rPr>
          <w:rFonts w:eastAsia="Times New Roman" w:cs="Times New Roman"/>
          <w:szCs w:val="20"/>
          <w:lang w:val="hr-HR" w:eastAsia="en-GB"/>
        </w:rPr>
        <w:t>Pošto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povišen</w:t>
      </w:r>
      <w:r w:rsidR="005323E5" w:rsidRPr="00D9488A">
        <w:rPr>
          <w:rFonts w:eastAsia="Times New Roman" w:cs="Times New Roman"/>
          <w:szCs w:val="20"/>
          <w:lang w:val="hr-HR" w:eastAsia="en-GB"/>
        </w:rPr>
        <w:t>i nivoi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tricija mogu ukaz</w:t>
      </w:r>
      <w:r w:rsidR="00585CE1" w:rsidRPr="00D9488A">
        <w:rPr>
          <w:rFonts w:eastAsia="Times New Roman" w:cs="Times New Roman"/>
          <w:szCs w:val="20"/>
          <w:lang w:val="hr-HR" w:eastAsia="en-GB"/>
        </w:rPr>
        <w:t>a</w:t>
      </w:r>
      <w:r w:rsidR="00006EA5" w:rsidRPr="00D9488A">
        <w:rPr>
          <w:rFonts w:eastAsia="Times New Roman" w:cs="Times New Roman"/>
          <w:szCs w:val="20"/>
          <w:lang w:val="hr-HR" w:eastAsia="en-GB"/>
        </w:rPr>
        <w:t>ti na prisu</w:t>
      </w:r>
      <w:r w:rsidR="00074B84" w:rsidRPr="00D9488A">
        <w:rPr>
          <w:rFonts w:eastAsia="Times New Roman" w:cs="Times New Roman"/>
          <w:szCs w:val="20"/>
          <w:lang w:val="hr-HR" w:eastAsia="en-GB"/>
        </w:rPr>
        <w:t>stvo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drugih </w:t>
      </w:r>
      <w:r w:rsidR="00074B84" w:rsidRPr="00D9488A">
        <w:rPr>
          <w:rFonts w:eastAsia="Times New Roman" w:cs="Times New Roman"/>
          <w:szCs w:val="20"/>
          <w:lang w:val="hr-HR" w:eastAsia="en-GB"/>
        </w:rPr>
        <w:t>vještačkih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radionuklida</w:t>
      </w:r>
      <w:r w:rsidR="00696627" w:rsidRPr="00D9488A">
        <w:rPr>
          <w:rFonts w:eastAsia="Times New Roman" w:cs="Times New Roman"/>
          <w:szCs w:val="20"/>
          <w:lang w:val="hr-HR" w:eastAsia="en-GB"/>
        </w:rPr>
        <w:t>, onda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tricij, ukupnu alfa aktivnost i ukupnu beta aktivnost treba mjeriti </w:t>
      </w:r>
      <w:r w:rsidR="00696627" w:rsidRPr="00D9488A">
        <w:rPr>
          <w:rFonts w:eastAsia="Times New Roman" w:cs="Times New Roman"/>
          <w:szCs w:val="20"/>
          <w:lang w:val="hr-HR" w:eastAsia="en-GB"/>
        </w:rPr>
        <w:t>u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istom uzorku.</w:t>
      </w:r>
    </w:p>
    <w:p w:rsidR="002B4384" w:rsidRPr="00D9488A" w:rsidRDefault="002B4384" w:rsidP="002B4384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B43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2.   Izračun ID-a </w:t>
      </w:r>
    </w:p>
    <w:p w:rsidR="002B4384" w:rsidRPr="00D9488A" w:rsidRDefault="002B4384" w:rsidP="002B4384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B4384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 xml:space="preserve">ID se izračunava iz izmjerenih koncentracija radionuklida i koeficijenata doze utvrđenih u </w:t>
      </w:r>
      <w:r w:rsidR="005323E5" w:rsidRPr="00D9488A">
        <w:rPr>
          <w:rFonts w:eastAsia="Times New Roman" w:cs="Times New Roman"/>
          <w:szCs w:val="20"/>
          <w:lang w:val="hr-HR" w:eastAsia="en-GB"/>
        </w:rPr>
        <w:t xml:space="preserve">tabeli A </w:t>
      </w:r>
      <w:r w:rsidR="00074B84" w:rsidRPr="00D9488A">
        <w:rPr>
          <w:rFonts w:eastAsia="Times New Roman" w:cs="Times New Roman"/>
          <w:szCs w:val="20"/>
          <w:lang w:val="hr-HR" w:eastAsia="en-GB"/>
        </w:rPr>
        <w:t>Aneks</w:t>
      </w:r>
      <w:r w:rsidR="005323E5" w:rsidRPr="00D9488A">
        <w:rPr>
          <w:rFonts w:eastAsia="Times New Roman" w:cs="Times New Roman"/>
          <w:szCs w:val="20"/>
          <w:lang w:val="hr-HR" w:eastAsia="en-GB"/>
        </w:rPr>
        <w:t>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III Direktive 96/29/Euratom ili novijih informacija koje su priznal</w:t>
      </w:r>
      <w:r w:rsidR="00204288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nadležn</w:t>
      </w:r>
      <w:r w:rsidR="00204288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5323E5" w:rsidRPr="00D9488A">
        <w:rPr>
          <w:rFonts w:eastAsia="Times New Roman" w:cs="Times New Roman"/>
          <w:szCs w:val="20"/>
          <w:lang w:val="hr-HR" w:eastAsia="en-GB"/>
        </w:rPr>
        <w:t>organ</w:t>
      </w:r>
      <w:r w:rsidR="00204288" w:rsidRPr="00D9488A">
        <w:rPr>
          <w:rFonts w:eastAsia="Times New Roman" w:cs="Times New Roman"/>
          <w:szCs w:val="20"/>
          <w:lang w:val="hr-HR" w:eastAsia="en-GB"/>
        </w:rPr>
        <w:t>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države članice, na </w:t>
      </w:r>
      <w:r w:rsidR="005323E5" w:rsidRPr="00D9488A">
        <w:rPr>
          <w:rFonts w:eastAsia="Times New Roman" w:cs="Times New Roman"/>
          <w:szCs w:val="20"/>
          <w:lang w:val="hr-HR" w:eastAsia="en-GB"/>
        </w:rPr>
        <w:t>osnovu</w:t>
      </w:r>
      <w:r w:rsidRPr="00D9488A">
        <w:rPr>
          <w:rFonts w:eastAsia="Times New Roman" w:cs="Times New Roman"/>
          <w:szCs w:val="20"/>
          <w:lang w:val="hr-HR" w:eastAsia="en-GB"/>
        </w:rPr>
        <w:t xml:space="preserve"> godišnje</w:t>
      </w:r>
      <w:r w:rsidR="00B449BA" w:rsidRPr="00D9488A">
        <w:rPr>
          <w:rFonts w:eastAsia="Times New Roman" w:cs="Times New Roman"/>
          <w:szCs w:val="20"/>
          <w:lang w:val="hr-HR" w:eastAsia="en-GB"/>
        </w:rPr>
        <w:t>g unosa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vode (730 </w:t>
      </w:r>
      <w:r w:rsidR="00B449BA" w:rsidRPr="00D9488A">
        <w:rPr>
          <w:rFonts w:eastAsia="Times New Roman" w:cs="Times New Roman"/>
          <w:szCs w:val="20"/>
          <w:lang w:val="hr-HR" w:eastAsia="en-GB"/>
        </w:rPr>
        <w:t>L</w:t>
      </w:r>
      <w:r w:rsidRPr="00D9488A">
        <w:rPr>
          <w:rFonts w:eastAsia="Times New Roman" w:cs="Times New Roman"/>
          <w:szCs w:val="20"/>
          <w:lang w:val="hr-HR" w:eastAsia="en-GB"/>
        </w:rPr>
        <w:t xml:space="preserve"> za </w:t>
      </w:r>
      <w:r w:rsidRPr="00D9488A">
        <w:rPr>
          <w:rFonts w:eastAsia="Times New Roman" w:cs="Times New Roman"/>
          <w:szCs w:val="20"/>
          <w:lang w:val="hr-HR" w:eastAsia="en-GB"/>
        </w:rPr>
        <w:lastRenderedPageBreak/>
        <w:t xml:space="preserve">odrasle). Kada je zadovoljena sljedeća formula, države članice mogu pretpostaviti da je ID </w:t>
      </w:r>
      <w:r w:rsidR="00B449BA" w:rsidRPr="00D9488A">
        <w:rPr>
          <w:rFonts w:eastAsia="Times New Roman" w:cs="Times New Roman"/>
          <w:szCs w:val="20"/>
          <w:lang w:val="hr-HR" w:eastAsia="en-GB"/>
        </w:rPr>
        <w:t>manji</w:t>
      </w:r>
      <w:r w:rsidRPr="00D9488A">
        <w:rPr>
          <w:rFonts w:eastAsia="Times New Roman" w:cs="Times New Roman"/>
          <w:szCs w:val="20"/>
          <w:lang w:val="hr-HR" w:eastAsia="en-GB"/>
        </w:rPr>
        <w:t xml:space="preserve"> od vrijednosti parametra od 0,1 mSv i </w:t>
      </w:r>
      <w:r w:rsidR="00B449BA" w:rsidRPr="00D9488A">
        <w:rPr>
          <w:rFonts w:eastAsia="Times New Roman" w:cs="Times New Roman"/>
          <w:szCs w:val="20"/>
          <w:lang w:val="hr-HR" w:eastAsia="en-GB"/>
        </w:rPr>
        <w:t>tada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nije potrebno dalje ispitivanje:</w:t>
      </w:r>
    </w:p>
    <w:p w:rsidR="006E0522" w:rsidRPr="00D9488A" w:rsidRDefault="006E0522" w:rsidP="002B4384">
      <w:pPr>
        <w:jc w:val="both"/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2B4384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noProof/>
          <w:szCs w:val="20"/>
          <w:lang w:eastAsia="en-GB"/>
        </w:rPr>
        <w:drawing>
          <wp:inline distT="0" distB="0" distL="0" distR="0">
            <wp:extent cx="1085850" cy="482600"/>
            <wp:effectExtent l="19050" t="0" r="0" b="0"/>
            <wp:docPr id="5" name="Picture 5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ul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pri čemu je</w:t>
      </w:r>
    </w:p>
    <w:p w:rsidR="002B4384" w:rsidRPr="00D9488A" w:rsidRDefault="002B4384" w:rsidP="008F3737">
      <w:pPr>
        <w:rPr>
          <w:rFonts w:eastAsia="Times New Roman" w:cs="Times New Roman"/>
          <w:szCs w:val="20"/>
          <w:lang w:val="hr-HR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74"/>
        <w:gridCol w:w="310"/>
        <w:gridCol w:w="7081"/>
      </w:tblGrid>
      <w:tr w:rsidR="00006EA5" w:rsidRPr="00D9488A" w:rsidTr="00006EA5">
        <w:trPr>
          <w:tblCellSpacing w:w="0" w:type="dxa"/>
        </w:trPr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Ci(obs)</w:t>
            </w:r>
          </w:p>
        </w:tc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=</w:t>
            </w:r>
          </w:p>
        </w:tc>
        <w:tc>
          <w:tcPr>
            <w:tcW w:w="0" w:type="auto"/>
            <w:hideMark/>
          </w:tcPr>
          <w:p w:rsidR="00006EA5" w:rsidRPr="00D9488A" w:rsidRDefault="00B449BA" w:rsidP="00B449BA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utvrđena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koncentracija radionuklida </w:t>
            </w:r>
            <w:r w:rsidR="00006EA5" w:rsidRPr="00D9488A">
              <w:rPr>
                <w:rFonts w:eastAsia="Times New Roman" w:cs="Times New Roman"/>
                <w:i/>
                <w:szCs w:val="20"/>
                <w:lang w:val="hr-HR" w:eastAsia="en-GB"/>
              </w:rPr>
              <w:t>i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</w:p>
        </w:tc>
      </w:tr>
      <w:tr w:rsidR="00006EA5" w:rsidRPr="00D9488A" w:rsidTr="00006EA5">
        <w:trPr>
          <w:tblCellSpacing w:w="0" w:type="dxa"/>
        </w:trPr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Ci(der)</w:t>
            </w:r>
          </w:p>
        </w:tc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=</w:t>
            </w:r>
          </w:p>
        </w:tc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izvedena koncentracija radionuklida </w:t>
            </w:r>
            <w:r w:rsidRPr="00D9488A">
              <w:rPr>
                <w:rFonts w:eastAsia="Times New Roman" w:cs="Times New Roman"/>
                <w:i/>
                <w:szCs w:val="20"/>
                <w:lang w:val="hr-HR" w:eastAsia="en-GB"/>
              </w:rPr>
              <w:t>i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</w:p>
        </w:tc>
      </w:tr>
      <w:tr w:rsidR="00006EA5" w:rsidRPr="00D9488A" w:rsidTr="00006EA5">
        <w:trPr>
          <w:tblCellSpacing w:w="0" w:type="dxa"/>
        </w:trPr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</w:t>
            </w:r>
          </w:p>
        </w:tc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=</w:t>
            </w:r>
          </w:p>
        </w:tc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broj 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detektovanih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radionuklida</w:t>
            </w:r>
          </w:p>
          <w:p w:rsidR="002B4384" w:rsidRPr="00D9488A" w:rsidRDefault="002B4384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</w:tr>
    </w:tbl>
    <w:p w:rsidR="00687EEC" w:rsidRPr="00D9488A" w:rsidRDefault="00687EEC" w:rsidP="00687EEC">
      <w:pPr>
        <w:jc w:val="center"/>
        <w:rPr>
          <w:rFonts w:eastAsia="Times New Roman" w:cs="Times New Roman"/>
          <w:b/>
          <w:szCs w:val="20"/>
          <w:lang w:val="hr-HR" w:eastAsia="en-GB"/>
        </w:rPr>
      </w:pPr>
    </w:p>
    <w:p w:rsidR="00687EEC" w:rsidRPr="00D9488A" w:rsidRDefault="00006EA5" w:rsidP="00687EEC">
      <w:pPr>
        <w:jc w:val="center"/>
        <w:rPr>
          <w:rFonts w:eastAsia="Times New Roman" w:cs="Times New Roman"/>
          <w:b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 xml:space="preserve">Izvedene koncentracije za radioaktivnost u vodi </w:t>
      </w:r>
      <w:r w:rsidR="00687EEC" w:rsidRPr="00D9488A">
        <w:rPr>
          <w:rFonts w:eastAsia="Times New Roman" w:cs="Times New Roman"/>
          <w:b/>
          <w:szCs w:val="20"/>
          <w:lang w:val="hr-HR" w:eastAsia="en-GB"/>
        </w:rPr>
        <w:br/>
      </w:r>
      <w:r w:rsidRPr="00D9488A">
        <w:rPr>
          <w:rFonts w:eastAsia="Times New Roman" w:cs="Times New Roman"/>
          <w:b/>
          <w:szCs w:val="20"/>
          <w:lang w:val="hr-HR" w:eastAsia="en-GB"/>
        </w:rPr>
        <w:t>namijenjenoj za ljudsku potrošnju</w:t>
      </w:r>
      <w:r w:rsidR="00687EEC" w:rsidRPr="00D9488A">
        <w:rPr>
          <w:rStyle w:val="FootnoteReference"/>
          <w:rFonts w:eastAsia="Times New Roman" w:cs="Times New Roman"/>
          <w:b/>
          <w:szCs w:val="20"/>
          <w:lang w:val="hr-HR" w:eastAsia="en-GB"/>
        </w:rPr>
        <w:footnoteReference w:id="11"/>
      </w:r>
    </w:p>
    <w:p w:rsidR="00006EA5" w:rsidRPr="00D9488A" w:rsidRDefault="00006EA5" w:rsidP="00687EEC">
      <w:pPr>
        <w:jc w:val="center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b/>
          <w:szCs w:val="20"/>
          <w:lang w:val="hr-HR" w:eastAsia="en-GB"/>
        </w:rPr>
        <w:t xml:space="preserve"> </w:t>
      </w:r>
      <w:hyperlink r:id="rId18" w:anchor="ntr2-L_2013296HR.01001901-E0002" w:history="1">
        <w:r w:rsidRPr="00D9488A">
          <w:rPr>
            <w:rFonts w:eastAsia="Times New Roman" w:cs="Times New Roman"/>
            <w:color w:val="0000FF"/>
            <w:szCs w:val="20"/>
            <w:u w:val="single"/>
            <w:lang w:val="hr-HR" w:eastAsia="en-GB"/>
          </w:rPr>
          <w:t> </w:t>
        </w:r>
      </w:hyperlink>
    </w:p>
    <w:tbl>
      <w:tblPr>
        <w:tblW w:w="412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3"/>
        <w:gridCol w:w="2818"/>
        <w:gridCol w:w="2740"/>
      </w:tblGrid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6EA5" w:rsidRPr="00D9488A" w:rsidRDefault="00006EA5" w:rsidP="00817E0E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Porije</w:t>
            </w:r>
            <w:r w:rsidR="001B3F7F" w:rsidRPr="00D9488A">
              <w:rPr>
                <w:rFonts w:eastAsia="Times New Roman" w:cs="Times New Roman"/>
                <w:szCs w:val="20"/>
                <w:lang w:val="hr-HR" w:eastAsia="en-GB"/>
              </w:rPr>
              <w:t>k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lo</w:t>
            </w:r>
          </w:p>
        </w:tc>
        <w:tc>
          <w:tcPr>
            <w:tcW w:w="0" w:type="auto"/>
            <w:vAlign w:val="center"/>
            <w:hideMark/>
          </w:tcPr>
          <w:p w:rsidR="00006EA5" w:rsidRPr="00D9488A" w:rsidRDefault="00006EA5" w:rsidP="00817E0E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Nuklid</w:t>
            </w:r>
          </w:p>
        </w:tc>
        <w:tc>
          <w:tcPr>
            <w:tcW w:w="1892" w:type="pct"/>
            <w:vAlign w:val="center"/>
            <w:hideMark/>
          </w:tcPr>
          <w:p w:rsidR="00817E0E" w:rsidRPr="00D9488A" w:rsidRDefault="00817E0E" w:rsidP="00817E0E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</w:p>
          <w:p w:rsidR="00006EA5" w:rsidRPr="00D9488A" w:rsidRDefault="00006EA5" w:rsidP="00817E0E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Izvedena koncentracija</w:t>
            </w:r>
          </w:p>
          <w:p w:rsidR="001B3F7F" w:rsidRPr="00D9488A" w:rsidRDefault="001B3F7F" w:rsidP="00817E0E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Prirodni</w:t>
            </w:r>
          </w:p>
        </w:tc>
        <w:tc>
          <w:tcPr>
            <w:tcW w:w="0" w:type="auto"/>
            <w:hideMark/>
          </w:tcPr>
          <w:p w:rsidR="00006EA5" w:rsidRPr="00D9488A" w:rsidRDefault="00006EA5" w:rsidP="00BF4746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U-238</w:t>
            </w:r>
            <w:r w:rsidR="00687EEC" w:rsidRPr="00D9488A">
              <w:rPr>
                <w:rStyle w:val="FootnoteReference"/>
                <w:rFonts w:eastAsia="Times New Roman" w:cs="Times New Roman"/>
                <w:szCs w:val="20"/>
                <w:lang w:val="hr-HR" w:eastAsia="en-GB"/>
              </w:rPr>
              <w:footnoteReference w:id="12"/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3,0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U-234</w:t>
            </w:r>
            <w:r w:rsidR="00687EEC" w:rsidRPr="00D9488A">
              <w:rPr>
                <w:rStyle w:val="FootnoteReference"/>
                <w:rFonts w:eastAsia="Times New Roman" w:cs="Times New Roman"/>
                <w:szCs w:val="20"/>
                <w:lang w:val="hr-HR" w:eastAsia="en-GB"/>
              </w:rPr>
              <w:footnoteReference w:id="13"/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2,8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Ra-226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0,5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Ra-228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0,2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Pb-210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0,2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Po-210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0,1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 w:val="restart"/>
            <w:hideMark/>
          </w:tcPr>
          <w:p w:rsidR="00006EA5" w:rsidRPr="00D9488A" w:rsidRDefault="001B3F7F" w:rsidP="001B3F7F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Vještački</w:t>
            </w: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C-14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240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Sr-90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4,9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Pu-239/Pu-240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0,6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Am-241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0,7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Co-60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40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Cs-134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7,2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Cs-137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11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0" w:type="auto"/>
            <w:hideMark/>
          </w:tcPr>
          <w:p w:rsidR="00006EA5" w:rsidRPr="00D9488A" w:rsidRDefault="00006EA5" w:rsidP="001B3F7F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I-131</w:t>
            </w:r>
          </w:p>
        </w:tc>
        <w:tc>
          <w:tcPr>
            <w:tcW w:w="1892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6,2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</w:tr>
    </w:tbl>
    <w:p w:rsidR="001B3F7F" w:rsidRPr="00D9488A" w:rsidRDefault="001B3F7F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006EA5" w:rsidP="008F3737">
      <w:pPr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3.   </w:t>
      </w:r>
      <w:r w:rsidR="00B1231F" w:rsidRPr="00D9488A">
        <w:rPr>
          <w:color w:val="1A171C"/>
          <w:szCs w:val="20"/>
          <w:lang w:val="hr-HR"/>
        </w:rPr>
        <w:t>Karakteristike obavljanja i metodi analiza</w:t>
      </w:r>
      <w:r w:rsidRPr="00D9488A">
        <w:rPr>
          <w:rFonts w:eastAsia="Times New Roman" w:cs="Times New Roman"/>
          <w:szCs w:val="20"/>
          <w:lang w:val="hr-HR" w:eastAsia="en-GB"/>
        </w:rPr>
        <w:t xml:space="preserve"> </w:t>
      </w:r>
    </w:p>
    <w:p w:rsidR="001B3F7F" w:rsidRPr="00D9488A" w:rsidRDefault="001B3F7F" w:rsidP="008F3737">
      <w:pPr>
        <w:rPr>
          <w:rFonts w:eastAsia="Times New Roman" w:cs="Times New Roman"/>
          <w:szCs w:val="20"/>
          <w:lang w:val="hr-HR" w:eastAsia="en-GB"/>
        </w:rPr>
      </w:pPr>
    </w:p>
    <w:p w:rsidR="00006EA5" w:rsidRPr="00D9488A" w:rsidRDefault="00BC15B4" w:rsidP="001B3F7F">
      <w:pPr>
        <w:jc w:val="both"/>
        <w:rPr>
          <w:rFonts w:eastAsia="Times New Roman" w:cs="Times New Roman"/>
          <w:szCs w:val="20"/>
          <w:lang w:val="hr-HR" w:eastAsia="en-GB"/>
        </w:rPr>
      </w:pPr>
      <w:r w:rsidRPr="00D9488A">
        <w:rPr>
          <w:rFonts w:eastAsia="Times New Roman" w:cs="Times New Roman"/>
          <w:szCs w:val="20"/>
          <w:lang w:val="hr-HR" w:eastAsia="en-GB"/>
        </w:rPr>
        <w:t>Metod</w:t>
      </w:r>
      <w:r w:rsidR="00B449BA" w:rsidRPr="00D9488A">
        <w:rPr>
          <w:rFonts w:eastAsia="Times New Roman" w:cs="Times New Roman"/>
          <w:szCs w:val="20"/>
          <w:lang w:val="hr-HR" w:eastAsia="en-GB"/>
        </w:rPr>
        <w:t>om</w:t>
      </w:r>
      <w:r w:rsidRPr="00D9488A">
        <w:rPr>
          <w:rFonts w:eastAsia="Times New Roman" w:cs="Times New Roman"/>
          <w:szCs w:val="20"/>
          <w:lang w:val="hr-HR" w:eastAsia="en-GB"/>
        </w:rPr>
        <w:t xml:space="preserve"> analize korišten</w:t>
      </w:r>
      <w:r w:rsidR="00B449BA" w:rsidRPr="00D9488A">
        <w:rPr>
          <w:rFonts w:eastAsia="Times New Roman" w:cs="Times New Roman"/>
          <w:szCs w:val="20"/>
          <w:lang w:val="hr-HR" w:eastAsia="en-GB"/>
        </w:rPr>
        <w:t>im</w:t>
      </w:r>
      <w:r w:rsidRPr="00D9488A">
        <w:rPr>
          <w:rFonts w:eastAsia="Times New Roman" w:cs="Times New Roman"/>
          <w:szCs w:val="20"/>
          <w:lang w:val="hr-HR" w:eastAsia="en-GB"/>
        </w:rPr>
        <w:t xml:space="preserve"> z</w:t>
      </w:r>
      <w:r w:rsidR="00006EA5" w:rsidRPr="00D9488A">
        <w:rPr>
          <w:rFonts w:eastAsia="Times New Roman" w:cs="Times New Roman"/>
          <w:szCs w:val="20"/>
          <w:lang w:val="hr-HR" w:eastAsia="en-GB"/>
        </w:rPr>
        <w:t>a sljedeće parametre i radionuklide mora</w:t>
      </w:r>
      <w:r w:rsidR="00B449BA" w:rsidRPr="00D9488A">
        <w:rPr>
          <w:rFonts w:eastAsia="Times New Roman" w:cs="Times New Roman"/>
          <w:szCs w:val="20"/>
          <w:lang w:val="hr-HR" w:eastAsia="en-GB"/>
        </w:rPr>
        <w:t>ju</w:t>
      </w:r>
      <w:r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B449BA" w:rsidRPr="00D9488A">
        <w:rPr>
          <w:rFonts w:eastAsia="Times New Roman" w:cs="Times New Roman"/>
          <w:szCs w:val="20"/>
          <w:lang w:val="hr-HR" w:eastAsia="en-GB"/>
        </w:rPr>
        <w:t xml:space="preserve">se </w:t>
      </w:r>
      <w:r w:rsidRPr="00D9488A">
        <w:rPr>
          <w:rFonts w:eastAsia="Times New Roman" w:cs="Times New Roman"/>
          <w:szCs w:val="20"/>
          <w:lang w:val="hr-HR" w:eastAsia="en-GB"/>
        </w:rPr>
        <w:t xml:space="preserve">najmanje </w:t>
      </w:r>
      <w:r w:rsidR="00B449BA" w:rsidRPr="00D9488A">
        <w:rPr>
          <w:rFonts w:eastAsia="Times New Roman" w:cs="Times New Roman"/>
          <w:szCs w:val="20"/>
          <w:lang w:val="hr-HR" w:eastAsia="en-GB"/>
        </w:rPr>
        <w:t>moći mjeriti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koncentracije aktivnosti s</w:t>
      </w:r>
      <w:r w:rsidR="00DB4669" w:rsidRPr="00D9488A">
        <w:rPr>
          <w:rFonts w:eastAsia="Times New Roman" w:cs="Times New Roman"/>
          <w:szCs w:val="20"/>
          <w:lang w:val="hr-HR" w:eastAsia="en-GB"/>
        </w:rPr>
        <w:t>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granic</w:t>
      </w:r>
      <w:r w:rsidR="000400CD" w:rsidRPr="00D9488A">
        <w:rPr>
          <w:rFonts w:eastAsia="Times New Roman" w:cs="Times New Roman"/>
          <w:szCs w:val="20"/>
          <w:lang w:val="hr-HR" w:eastAsia="en-GB"/>
        </w:rPr>
        <w:t>ama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</w:t>
      </w:r>
      <w:r w:rsidR="000400CD" w:rsidRPr="00D9488A">
        <w:rPr>
          <w:rFonts w:eastAsia="Times New Roman" w:cs="Times New Roman"/>
          <w:szCs w:val="20"/>
          <w:lang w:val="hr-HR" w:eastAsia="en-GB"/>
        </w:rPr>
        <w:t>detekcije</w:t>
      </w:r>
      <w:r w:rsidR="00006EA5" w:rsidRPr="00D9488A">
        <w:rPr>
          <w:rFonts w:eastAsia="Times New Roman" w:cs="Times New Roman"/>
          <w:szCs w:val="20"/>
          <w:lang w:val="hr-HR" w:eastAsia="en-GB"/>
        </w:rPr>
        <w:t xml:space="preserve"> naveden</w:t>
      </w:r>
      <w:r w:rsidR="00E55B10" w:rsidRPr="00D9488A">
        <w:rPr>
          <w:rFonts w:eastAsia="Times New Roman" w:cs="Times New Roman"/>
          <w:szCs w:val="20"/>
          <w:lang w:val="hr-HR" w:eastAsia="en-GB"/>
        </w:rPr>
        <w:t>i</w:t>
      </w:r>
      <w:r w:rsidR="00006EA5" w:rsidRPr="00D9488A">
        <w:rPr>
          <w:rFonts w:eastAsia="Times New Roman" w:cs="Times New Roman"/>
          <w:szCs w:val="20"/>
          <w:lang w:val="hr-HR" w:eastAsia="en-GB"/>
        </w:rPr>
        <w:t>m u nastavku:</w:t>
      </w:r>
    </w:p>
    <w:p w:rsidR="001B3F7F" w:rsidRPr="00D9488A" w:rsidRDefault="001B3F7F" w:rsidP="008F3737">
      <w:pPr>
        <w:rPr>
          <w:rFonts w:eastAsia="Times New Roman" w:cs="Times New Roman"/>
          <w:szCs w:val="20"/>
          <w:lang w:val="hr-HR" w:eastAsia="en-GB"/>
        </w:rPr>
      </w:pPr>
    </w:p>
    <w:tbl>
      <w:tblPr>
        <w:tblW w:w="464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5"/>
        <w:gridCol w:w="4110"/>
        <w:gridCol w:w="1553"/>
      </w:tblGrid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vAlign w:val="center"/>
            <w:hideMark/>
          </w:tcPr>
          <w:p w:rsidR="00817E0E" w:rsidRPr="00D9488A" w:rsidRDefault="00817E0E" w:rsidP="00817E0E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</w:p>
          <w:p w:rsidR="00006EA5" w:rsidRPr="00D9488A" w:rsidRDefault="00006EA5" w:rsidP="00817E0E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Parametri i radionuklidi</w:t>
            </w:r>
          </w:p>
          <w:p w:rsidR="00817E0E" w:rsidRPr="00D9488A" w:rsidRDefault="00817E0E" w:rsidP="00817E0E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  <w:tc>
          <w:tcPr>
            <w:tcW w:w="2519" w:type="pct"/>
            <w:vAlign w:val="center"/>
            <w:hideMark/>
          </w:tcPr>
          <w:p w:rsidR="00006EA5" w:rsidRPr="00D9488A" w:rsidRDefault="00006EA5" w:rsidP="000400C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Granica </w:t>
            </w:r>
            <w:r w:rsidR="000400CD" w:rsidRPr="00D9488A">
              <w:rPr>
                <w:rFonts w:eastAsia="Times New Roman" w:cs="Times New Roman"/>
                <w:szCs w:val="20"/>
                <w:lang w:val="hr-HR" w:eastAsia="en-GB"/>
              </w:rPr>
              <w:t>detekcije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(Napomene 1, 2)</w:t>
            </w:r>
          </w:p>
        </w:tc>
        <w:tc>
          <w:tcPr>
            <w:tcW w:w="0" w:type="auto"/>
            <w:vAlign w:val="center"/>
            <w:hideMark/>
          </w:tcPr>
          <w:p w:rsidR="00006EA5" w:rsidRPr="00D9488A" w:rsidRDefault="00006EA5" w:rsidP="00817E0E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Napomene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Tricij</w:t>
            </w:r>
          </w:p>
        </w:tc>
        <w:tc>
          <w:tcPr>
            <w:tcW w:w="2519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10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  <w:tc>
          <w:tcPr>
            <w:tcW w:w="0" w:type="auto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3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Radon</w:t>
            </w:r>
          </w:p>
        </w:tc>
        <w:tc>
          <w:tcPr>
            <w:tcW w:w="2519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10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  <w:tc>
          <w:tcPr>
            <w:tcW w:w="0" w:type="auto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3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BF4746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U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kupna alfa aktivnost</w:t>
            </w:r>
          </w:p>
        </w:tc>
        <w:tc>
          <w:tcPr>
            <w:tcW w:w="2519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0,04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  <w:tc>
          <w:tcPr>
            <w:tcW w:w="0" w:type="auto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4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B449BA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U</w:t>
            </w:r>
            <w:r w:rsidR="00006EA5" w:rsidRPr="00D9488A">
              <w:rPr>
                <w:rFonts w:eastAsia="Times New Roman" w:cs="Times New Roman"/>
                <w:szCs w:val="20"/>
                <w:lang w:val="hr-HR" w:eastAsia="en-GB"/>
              </w:rPr>
              <w:t>kupna beta aktivnost</w:t>
            </w:r>
          </w:p>
        </w:tc>
        <w:tc>
          <w:tcPr>
            <w:tcW w:w="2519" w:type="pct"/>
            <w:hideMark/>
          </w:tcPr>
          <w:p w:rsidR="00006EA5" w:rsidRPr="00D9488A" w:rsidRDefault="00006EA5" w:rsidP="006E0522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0,4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</w:p>
        </w:tc>
        <w:tc>
          <w:tcPr>
            <w:tcW w:w="0" w:type="auto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4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lastRenderedPageBreak/>
              <w:t>U-238</w:t>
            </w:r>
          </w:p>
        </w:tc>
        <w:tc>
          <w:tcPr>
            <w:tcW w:w="2519" w:type="pct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0,02 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U-234</w:t>
            </w:r>
          </w:p>
        </w:tc>
        <w:tc>
          <w:tcPr>
            <w:tcW w:w="2519" w:type="pct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0,02 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Ra-226</w:t>
            </w:r>
          </w:p>
        </w:tc>
        <w:tc>
          <w:tcPr>
            <w:tcW w:w="2519" w:type="pct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0,04 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Ra-228</w:t>
            </w:r>
          </w:p>
        </w:tc>
        <w:tc>
          <w:tcPr>
            <w:tcW w:w="2519" w:type="pct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0,02 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5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Pb-210</w:t>
            </w:r>
          </w:p>
        </w:tc>
        <w:tc>
          <w:tcPr>
            <w:tcW w:w="2519" w:type="pct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0,02 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Po-210</w:t>
            </w:r>
          </w:p>
        </w:tc>
        <w:tc>
          <w:tcPr>
            <w:tcW w:w="2519" w:type="pct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0,01 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C-14</w:t>
            </w:r>
          </w:p>
        </w:tc>
        <w:tc>
          <w:tcPr>
            <w:tcW w:w="2519" w:type="pct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20 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6F68FD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Sr-90</w:t>
            </w:r>
          </w:p>
        </w:tc>
        <w:tc>
          <w:tcPr>
            <w:tcW w:w="2519" w:type="pct"/>
            <w:hideMark/>
          </w:tcPr>
          <w:p w:rsidR="00006EA5" w:rsidRPr="00D9488A" w:rsidRDefault="00006EA5" w:rsidP="00BF4746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0,4 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 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Pu-239/Pu-240</w:t>
            </w:r>
          </w:p>
        </w:tc>
        <w:tc>
          <w:tcPr>
            <w:tcW w:w="2519" w:type="pct"/>
            <w:hideMark/>
          </w:tcPr>
          <w:p w:rsidR="00006EA5" w:rsidRPr="00D9488A" w:rsidRDefault="00006EA5" w:rsidP="00BF4746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0,04 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 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Am-241</w:t>
            </w:r>
          </w:p>
        </w:tc>
        <w:tc>
          <w:tcPr>
            <w:tcW w:w="2519" w:type="pct"/>
            <w:hideMark/>
          </w:tcPr>
          <w:p w:rsidR="00006EA5" w:rsidRPr="00D9488A" w:rsidRDefault="00006EA5" w:rsidP="00BF4746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0,06 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 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Co-60</w:t>
            </w:r>
          </w:p>
        </w:tc>
        <w:tc>
          <w:tcPr>
            <w:tcW w:w="2519" w:type="pct"/>
            <w:hideMark/>
          </w:tcPr>
          <w:p w:rsidR="00006EA5" w:rsidRPr="00D9488A" w:rsidRDefault="00006EA5" w:rsidP="00BF4746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0,5 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 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Cs-134</w:t>
            </w:r>
          </w:p>
        </w:tc>
        <w:tc>
          <w:tcPr>
            <w:tcW w:w="2519" w:type="pct"/>
            <w:hideMark/>
          </w:tcPr>
          <w:p w:rsidR="00006EA5" w:rsidRPr="00D9488A" w:rsidRDefault="00006EA5" w:rsidP="00BF4746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0,5 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 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Cs-137</w:t>
            </w:r>
          </w:p>
        </w:tc>
        <w:tc>
          <w:tcPr>
            <w:tcW w:w="2519" w:type="pct"/>
            <w:hideMark/>
          </w:tcPr>
          <w:p w:rsidR="00006EA5" w:rsidRPr="00D9488A" w:rsidRDefault="00006EA5" w:rsidP="00BF4746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0,5 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 </w:t>
            </w:r>
          </w:p>
        </w:tc>
      </w:tr>
      <w:tr w:rsidR="00006EA5" w:rsidRPr="00D9488A" w:rsidTr="00817E0E">
        <w:trPr>
          <w:tblCellSpacing w:w="0" w:type="dxa"/>
          <w:jc w:val="center"/>
        </w:trPr>
        <w:tc>
          <w:tcPr>
            <w:tcW w:w="1529" w:type="pct"/>
            <w:hideMark/>
          </w:tcPr>
          <w:p w:rsidR="00006EA5" w:rsidRPr="00D9488A" w:rsidRDefault="00006EA5" w:rsidP="008F3737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I-131</w:t>
            </w:r>
          </w:p>
        </w:tc>
        <w:tc>
          <w:tcPr>
            <w:tcW w:w="2519" w:type="pct"/>
            <w:hideMark/>
          </w:tcPr>
          <w:p w:rsidR="00687EEC" w:rsidRPr="00D9488A" w:rsidRDefault="00006EA5" w:rsidP="00BF4746">
            <w:pPr>
              <w:jc w:val="center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0,5 </w:t>
            </w:r>
            <w:r w:rsidR="003544E1">
              <w:rPr>
                <w:rFonts w:eastAsia="Times New Roman" w:cs="Times New Roman"/>
                <w:szCs w:val="20"/>
                <w:lang w:val="hr-HR" w:eastAsia="en-GB"/>
              </w:rPr>
              <w:t>Bq/L</w:t>
            </w:r>
          </w:p>
        </w:tc>
        <w:tc>
          <w:tcPr>
            <w:tcW w:w="0" w:type="auto"/>
            <w:hideMark/>
          </w:tcPr>
          <w:p w:rsidR="00687EEC" w:rsidRPr="00D9488A" w:rsidRDefault="00006EA5" w:rsidP="00687EEC">
            <w:pPr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 </w:t>
            </w:r>
          </w:p>
        </w:tc>
      </w:tr>
    </w:tbl>
    <w:p w:rsidR="00687EEC" w:rsidRPr="00D9488A" w:rsidRDefault="00687EEC">
      <w:pPr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229"/>
      </w:tblGrid>
      <w:tr w:rsidR="00687EEC" w:rsidRPr="00D9488A" w:rsidTr="00687EEC">
        <w:tc>
          <w:tcPr>
            <w:tcW w:w="1668" w:type="dxa"/>
          </w:tcPr>
          <w:p w:rsidR="00687EEC" w:rsidRPr="00D9488A" w:rsidRDefault="00687EEC" w:rsidP="00687EEC">
            <w:pPr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1:</w:t>
            </w:r>
          </w:p>
        </w:tc>
        <w:tc>
          <w:tcPr>
            <w:tcW w:w="7229" w:type="dxa"/>
          </w:tcPr>
          <w:p w:rsidR="00687EEC" w:rsidRPr="00D9488A" w:rsidRDefault="00687EEC" w:rsidP="00687EEC">
            <w:pPr>
              <w:jc w:val="both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Granica 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detekcije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se</w:t>
            </w:r>
            <w:r w:rsidR="00C6455F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računa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prema standardu ISO 11929: Određivanje karakterističnih granica (prag odlučivanja, granica </w:t>
            </w:r>
            <w:r w:rsidR="00B449BA" w:rsidRPr="00D9488A">
              <w:rPr>
                <w:rFonts w:eastAsia="Times New Roman" w:cs="Times New Roman"/>
                <w:szCs w:val="20"/>
                <w:lang w:val="hr-HR" w:eastAsia="en-GB"/>
              </w:rPr>
              <w:t>detekcije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i granice intervala pouzdanosti) za mjerenja jonizirajućeg zračenja – Osnove i primjena, s vjerojatnošću greške prvog i drugog tipa od 0,05 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u oba slučaja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.</w:t>
            </w:r>
          </w:p>
          <w:p w:rsidR="00687EEC" w:rsidRPr="00D9488A" w:rsidRDefault="00687EEC" w:rsidP="00687EEC">
            <w:pPr>
              <w:jc w:val="both"/>
              <w:rPr>
                <w:lang w:val="hr-HR"/>
              </w:rPr>
            </w:pPr>
          </w:p>
        </w:tc>
      </w:tr>
      <w:tr w:rsidR="00687EEC" w:rsidRPr="00D9488A" w:rsidTr="00687EEC">
        <w:tc>
          <w:tcPr>
            <w:tcW w:w="1668" w:type="dxa"/>
          </w:tcPr>
          <w:p w:rsidR="00687EEC" w:rsidRPr="00D9488A" w:rsidRDefault="00687EEC" w:rsidP="00687EEC">
            <w:pPr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2:</w:t>
            </w:r>
          </w:p>
        </w:tc>
        <w:tc>
          <w:tcPr>
            <w:tcW w:w="7229" w:type="dxa"/>
          </w:tcPr>
          <w:p w:rsidR="00687EEC" w:rsidRPr="00D9488A" w:rsidRDefault="00687EEC" w:rsidP="00687EEC">
            <w:pPr>
              <w:jc w:val="both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Mjerne nesigurnosti 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se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računaju i 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navode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kao potpune standardne nesigurnosti ili kao proširene standardne nesigurnosti s faktorom 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pr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o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š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i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renja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od 1,96 prema ISO 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V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odiču za iskazivanje mjerne nesigurnosti.</w:t>
            </w:r>
          </w:p>
          <w:p w:rsidR="00687EEC" w:rsidRPr="00D9488A" w:rsidRDefault="00687EEC" w:rsidP="00687EEC">
            <w:pPr>
              <w:jc w:val="both"/>
              <w:rPr>
                <w:lang w:val="hr-HR"/>
              </w:rPr>
            </w:pPr>
          </w:p>
        </w:tc>
      </w:tr>
      <w:tr w:rsidR="00687EEC" w:rsidRPr="00D9488A" w:rsidTr="00687EEC">
        <w:tc>
          <w:tcPr>
            <w:tcW w:w="1668" w:type="dxa"/>
          </w:tcPr>
          <w:p w:rsidR="00687EEC" w:rsidRPr="00D9488A" w:rsidRDefault="00687EEC" w:rsidP="00687EEC">
            <w:pPr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3:</w:t>
            </w:r>
          </w:p>
        </w:tc>
        <w:tc>
          <w:tcPr>
            <w:tcW w:w="7229" w:type="dxa"/>
          </w:tcPr>
          <w:p w:rsidR="00687EEC" w:rsidRPr="00D9488A" w:rsidRDefault="00687EEC" w:rsidP="00687EEC">
            <w:pPr>
              <w:jc w:val="both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Granica 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detekcije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za tricij i za radon iznosi 10% od nj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ih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ove vrijednosti parametra od 100 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.</w:t>
            </w:r>
          </w:p>
          <w:p w:rsidR="00687EEC" w:rsidRPr="00D9488A" w:rsidRDefault="00687EEC" w:rsidP="00687EEC">
            <w:pPr>
              <w:jc w:val="both"/>
              <w:rPr>
                <w:lang w:val="hr-HR"/>
              </w:rPr>
            </w:pPr>
          </w:p>
        </w:tc>
      </w:tr>
      <w:tr w:rsidR="00687EEC" w:rsidRPr="00D9488A" w:rsidTr="00687EEC">
        <w:tc>
          <w:tcPr>
            <w:tcW w:w="1668" w:type="dxa"/>
          </w:tcPr>
          <w:p w:rsidR="00687EEC" w:rsidRPr="00D9488A" w:rsidRDefault="00687EEC" w:rsidP="00687EEC">
            <w:pPr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4:</w:t>
            </w:r>
          </w:p>
        </w:tc>
        <w:tc>
          <w:tcPr>
            <w:tcW w:w="7229" w:type="dxa"/>
          </w:tcPr>
          <w:p w:rsidR="00687EEC" w:rsidRPr="00D9488A" w:rsidRDefault="00687EEC" w:rsidP="00402557">
            <w:pPr>
              <w:jc w:val="both"/>
              <w:rPr>
                <w:rFonts w:eastAsia="Times New Roman" w:cs="Times New Roman"/>
                <w:szCs w:val="20"/>
                <w:lang w:val="hr-HR" w:eastAsia="en-GB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Granica 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detekcije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za ukupnu alfa aktivnost i ukupnu beta aktivnost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iznosi 40% </w:t>
            </w:r>
            <w:r w:rsidR="008D47C6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od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vrijednosti </w:t>
            </w:r>
            <w:r w:rsidR="008D47C6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nivoa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od 0,1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Bq/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,</w:t>
            </w:r>
            <w:r w:rsidR="006E0522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odnosno 1,0 Bq/L</w:t>
            </w:r>
            <w:r w:rsidR="008D47C6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koji se </w:t>
            </w:r>
            <w:r w:rsidR="001E7288" w:rsidRPr="00D9488A">
              <w:rPr>
                <w:rFonts w:eastAsia="Times New Roman" w:cs="Times New Roman"/>
                <w:szCs w:val="20"/>
                <w:lang w:val="hr-HR" w:eastAsia="en-GB"/>
              </w:rPr>
              <w:t>provjerava</w:t>
            </w:r>
            <w:r w:rsidR="00600202" w:rsidRPr="00D9488A">
              <w:rPr>
                <w:rFonts w:eastAsia="Times New Roman" w:cs="Times New Roman"/>
                <w:szCs w:val="20"/>
                <w:lang w:val="hr-HR" w:eastAsia="en-GB"/>
              </w:rPr>
              <w:t>ju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.</w:t>
            </w:r>
          </w:p>
          <w:p w:rsidR="00687EEC" w:rsidRPr="00D9488A" w:rsidRDefault="00687EEC" w:rsidP="00687EEC">
            <w:pPr>
              <w:rPr>
                <w:lang w:val="hr-HR"/>
              </w:rPr>
            </w:pPr>
          </w:p>
        </w:tc>
      </w:tr>
      <w:tr w:rsidR="00687EEC" w:rsidRPr="00D9488A" w:rsidTr="00687EEC">
        <w:tc>
          <w:tcPr>
            <w:tcW w:w="1668" w:type="dxa"/>
          </w:tcPr>
          <w:p w:rsidR="00687EEC" w:rsidRPr="00D9488A" w:rsidRDefault="00687EEC" w:rsidP="00687EEC">
            <w:pPr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Napomena 5:</w:t>
            </w:r>
          </w:p>
        </w:tc>
        <w:tc>
          <w:tcPr>
            <w:tcW w:w="7229" w:type="dxa"/>
          </w:tcPr>
          <w:p w:rsidR="00687EEC" w:rsidRPr="00D9488A" w:rsidRDefault="00687EEC" w:rsidP="00D9488A">
            <w:pPr>
              <w:jc w:val="both"/>
              <w:rPr>
                <w:lang w:val="hr-HR"/>
              </w:rPr>
            </w:pP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Ova granica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detekcije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se 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primjenjuje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samo na početn</w:t>
            </w:r>
            <w:r w:rsidR="00D9488A" w:rsidRPr="00D9488A">
              <w:rPr>
                <w:rFonts w:eastAsia="Times New Roman" w:cs="Times New Roman"/>
                <w:szCs w:val="20"/>
                <w:lang w:val="hr-HR" w:eastAsia="en-GB"/>
              </w:rPr>
              <w:t>o ispitivanje na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ID-a za novi izvor vode; ako početna provj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era ukaže na to da nije vjerov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>atno da Ra-228 pre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lazi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20% od izvedene koncentracije, granica 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detekcije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može biti povećana na 0,08 Bq/</w:t>
            </w:r>
            <w:r w:rsidR="00600202" w:rsidRPr="00D9488A">
              <w:rPr>
                <w:rFonts w:eastAsia="Times New Roman" w:cs="Times New Roman"/>
                <w:szCs w:val="20"/>
                <w:lang w:val="hr-HR" w:eastAsia="en-GB"/>
              </w:rPr>
              <w:t>L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za rutinska 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mjerenja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specifična 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za 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nuklid Ra-228 sve dok ne bude potrebna 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naknadna</w:t>
            </w:r>
            <w:r w:rsidRPr="00D9488A">
              <w:rPr>
                <w:rFonts w:eastAsia="Times New Roman" w:cs="Times New Roman"/>
                <w:szCs w:val="20"/>
                <w:lang w:val="hr-HR" w:eastAsia="en-GB"/>
              </w:rPr>
              <w:t xml:space="preserve"> ponovna provjera</w:t>
            </w:r>
            <w:r w:rsidR="00402557" w:rsidRPr="00D9488A">
              <w:rPr>
                <w:rFonts w:eastAsia="Times New Roman" w:cs="Times New Roman"/>
                <w:szCs w:val="20"/>
                <w:lang w:val="hr-HR" w:eastAsia="en-GB"/>
              </w:rPr>
              <w:t>.</w:t>
            </w:r>
          </w:p>
        </w:tc>
      </w:tr>
    </w:tbl>
    <w:p w:rsidR="00E7061F" w:rsidRPr="00D9488A" w:rsidRDefault="00E7061F" w:rsidP="00D9488A">
      <w:pPr>
        <w:spacing w:after="20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E7061F" w:rsidRPr="00D9488A" w:rsidRDefault="00E7061F" w:rsidP="00E7061F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E7061F" w:rsidRPr="00D9488A" w:rsidRDefault="00E7061F" w:rsidP="00E7061F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E7061F" w:rsidRPr="00D9488A" w:rsidRDefault="00E7061F" w:rsidP="00E7061F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E7061F" w:rsidRPr="00D9488A" w:rsidRDefault="00E7061F" w:rsidP="00E7061F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E7061F" w:rsidRPr="00D9488A" w:rsidRDefault="00E7061F" w:rsidP="00E7061F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E7061F" w:rsidRPr="00D9488A" w:rsidRDefault="00E7061F" w:rsidP="00E7061F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E7061F" w:rsidRPr="00D9488A" w:rsidRDefault="00E7061F" w:rsidP="00E7061F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E7061F" w:rsidRPr="00D9488A" w:rsidRDefault="00E7061F" w:rsidP="00E7061F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E7061F" w:rsidRPr="00D9488A" w:rsidRDefault="00E7061F" w:rsidP="00E7061F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F07CB0" w:rsidRPr="00D9488A" w:rsidRDefault="00F07CB0" w:rsidP="00F07CB0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F07CB0" w:rsidRPr="00D9488A" w:rsidRDefault="00F07CB0" w:rsidP="00F07CB0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p w:rsidR="00F07CB0" w:rsidRPr="00D9488A" w:rsidRDefault="00F07CB0" w:rsidP="00F07CB0">
      <w:pPr>
        <w:rPr>
          <w:rFonts w:ascii="Times New Roman" w:eastAsia="Times New Roman" w:hAnsi="Times New Roman" w:cs="Times New Roman"/>
          <w:vanish/>
          <w:sz w:val="24"/>
          <w:szCs w:val="24"/>
          <w:lang w:val="hr-HR" w:eastAsia="en-GB"/>
        </w:rPr>
      </w:pPr>
    </w:p>
    <w:sectPr w:rsidR="00F07CB0" w:rsidRPr="00D9488A" w:rsidSect="002B4384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34" w:rsidRDefault="00C02634" w:rsidP="00C02634">
      <w:r>
        <w:separator/>
      </w:r>
    </w:p>
  </w:endnote>
  <w:endnote w:type="continuationSeparator" w:id="0">
    <w:p w:rsidR="00C02634" w:rsidRDefault="00C02634" w:rsidP="00C0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34" w:rsidRDefault="00C02634" w:rsidP="00C02634">
      <w:r>
        <w:separator/>
      </w:r>
    </w:p>
  </w:footnote>
  <w:footnote w:type="continuationSeparator" w:id="0">
    <w:p w:rsidR="00C02634" w:rsidRDefault="00C02634" w:rsidP="00C02634">
      <w:r>
        <w:continuationSeparator/>
      </w:r>
    </w:p>
  </w:footnote>
  <w:footnote w:id="1">
    <w:p w:rsidR="00C02634" w:rsidRPr="00C02634" w:rsidRDefault="00C02634">
      <w:pPr>
        <w:pStyle w:val="FootnoteText"/>
        <w:rPr>
          <w:lang w:val="bs-Latn-BA"/>
        </w:rPr>
      </w:pPr>
      <w:r w:rsidRPr="003206D0">
        <w:rPr>
          <w:rStyle w:val="FootnoteReference"/>
          <w:rFonts w:asciiTheme="minorHAnsi" w:hAnsiTheme="minorHAnsi"/>
        </w:rPr>
        <w:footnoteRef/>
      </w:r>
      <w:r w:rsidRPr="003206D0">
        <w:rPr>
          <w:rFonts w:asciiTheme="minorHAnsi" w:hAnsiTheme="minorHAnsi"/>
        </w:rPr>
        <w:t xml:space="preserve"> </w:t>
      </w:r>
      <w:r w:rsidRPr="007A64C0">
        <w:rPr>
          <w:rFonts w:asciiTheme="minorHAnsi" w:hAnsiTheme="minorHAnsi"/>
        </w:rPr>
        <w:t>„Službeni list EU”, broj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C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Times New Roman" w:hAnsiTheme="minorHAnsi" w:cs="Times New Roman"/>
          <w:lang w:eastAsia="en-GB"/>
        </w:rPr>
        <w:t>24</w:t>
      </w:r>
      <w:r w:rsidRPr="00383FAF">
        <w:rPr>
          <w:rFonts w:asciiTheme="minorHAnsi" w:eastAsia="Times New Roman" w:hAnsiTheme="minorHAnsi" w:cs="Times New Roman"/>
          <w:lang w:eastAsia="en-GB"/>
        </w:rPr>
        <w:t>, 2</w:t>
      </w:r>
      <w:r>
        <w:rPr>
          <w:rFonts w:asciiTheme="minorHAnsi" w:eastAsia="Times New Roman" w:hAnsiTheme="minorHAnsi" w:cs="Times New Roman"/>
          <w:lang w:eastAsia="en-GB"/>
        </w:rPr>
        <w:t>8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1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2012</w:t>
      </w:r>
      <w:r w:rsidRPr="00383FAF">
        <w:rPr>
          <w:rFonts w:asciiTheme="minorHAnsi" w:eastAsia="Times New Roman" w:hAnsiTheme="minorHAnsi" w:cs="Times New Roman"/>
          <w:lang w:eastAsia="en-GB"/>
        </w:rPr>
        <w:t>., str. 1</w:t>
      </w:r>
      <w:r>
        <w:rPr>
          <w:rFonts w:asciiTheme="minorHAnsi" w:eastAsia="Times New Roman" w:hAnsiTheme="minorHAnsi" w:cs="Times New Roman"/>
          <w:lang w:eastAsia="en-GB"/>
        </w:rPr>
        <w:t>22</w:t>
      </w:r>
    </w:p>
  </w:footnote>
  <w:footnote w:id="2">
    <w:p w:rsidR="00C02634" w:rsidRPr="00C02634" w:rsidRDefault="00C02634" w:rsidP="00C02634">
      <w:pPr>
        <w:pStyle w:val="FootnoteText"/>
        <w:jc w:val="both"/>
        <w:rPr>
          <w:lang w:val="bs-Latn-BA"/>
        </w:rPr>
      </w:pPr>
      <w:r w:rsidRPr="003206D0">
        <w:rPr>
          <w:rStyle w:val="FootnoteReference"/>
          <w:rFonts w:asciiTheme="minorHAnsi" w:hAnsiTheme="minorHAnsi"/>
        </w:rPr>
        <w:footnoteRef/>
      </w:r>
      <w:r w:rsidR="00D9488A">
        <w:rPr>
          <w:rFonts w:asciiTheme="minorHAnsi" w:hAnsiTheme="minorHAnsi"/>
        </w:rPr>
        <w:t xml:space="preserve"> </w:t>
      </w:r>
      <w:r w:rsidRPr="00C02634">
        <w:rPr>
          <w:rFonts w:asciiTheme="minorHAnsi" w:hAnsiTheme="minorHAnsi"/>
          <w:lang w:val="bs-Latn-BA"/>
        </w:rPr>
        <w:t>Direkti</w:t>
      </w:r>
      <w:r>
        <w:rPr>
          <w:rFonts w:asciiTheme="minorHAnsi" w:hAnsiTheme="minorHAnsi"/>
          <w:lang w:val="bs-Latn-BA"/>
        </w:rPr>
        <w:t>va Vijeća 96/29/Euratom od 13. maja</w:t>
      </w:r>
      <w:r w:rsidRPr="00C02634">
        <w:rPr>
          <w:rFonts w:asciiTheme="minorHAnsi" w:hAnsiTheme="minorHAnsi"/>
          <w:lang w:val="bs-Latn-BA"/>
        </w:rPr>
        <w:t xml:space="preserve"> 1996. o utvrđivanju osnovnih sigurnosnih </w:t>
      </w:r>
      <w:r>
        <w:rPr>
          <w:rFonts w:asciiTheme="minorHAnsi" w:hAnsiTheme="minorHAnsi"/>
          <w:lang w:val="bs-Latn-BA"/>
        </w:rPr>
        <w:t>standarda</w:t>
      </w:r>
      <w:r w:rsidRPr="00C02634">
        <w:rPr>
          <w:rFonts w:asciiTheme="minorHAnsi" w:hAnsiTheme="minorHAnsi"/>
          <w:lang w:val="bs-Latn-BA"/>
        </w:rPr>
        <w:t xml:space="preserve"> za zaštitu zdravlja </w:t>
      </w:r>
      <w:r>
        <w:rPr>
          <w:rFonts w:asciiTheme="minorHAnsi" w:hAnsiTheme="minorHAnsi"/>
          <w:lang w:val="bs-Latn-BA"/>
        </w:rPr>
        <w:t>zaposlenih</w:t>
      </w:r>
      <w:r w:rsidRPr="00C02634">
        <w:rPr>
          <w:rFonts w:asciiTheme="minorHAnsi" w:hAnsiTheme="minorHAnsi"/>
          <w:lang w:val="bs-Latn-BA"/>
        </w:rPr>
        <w:t xml:space="preserve"> i stanovništva od opasnosti </w:t>
      </w:r>
      <w:r w:rsidR="00E7061F">
        <w:rPr>
          <w:rFonts w:asciiTheme="minorHAnsi" w:hAnsiTheme="minorHAnsi"/>
          <w:lang w:val="bs-Latn-BA"/>
        </w:rPr>
        <w:t xml:space="preserve">koje potiču </w:t>
      </w:r>
      <w:r w:rsidRPr="00C02634">
        <w:rPr>
          <w:rFonts w:asciiTheme="minorHAnsi" w:hAnsiTheme="minorHAnsi"/>
          <w:lang w:val="bs-Latn-BA"/>
        </w:rPr>
        <w:t xml:space="preserve">od </w:t>
      </w:r>
      <w:r>
        <w:rPr>
          <w:rFonts w:asciiTheme="minorHAnsi" w:hAnsiTheme="minorHAnsi"/>
          <w:lang w:val="bs-Latn-BA"/>
        </w:rPr>
        <w:t>j</w:t>
      </w:r>
      <w:r w:rsidRPr="00C02634">
        <w:rPr>
          <w:rFonts w:asciiTheme="minorHAnsi" w:hAnsiTheme="minorHAnsi"/>
          <w:lang w:val="bs-Latn-BA"/>
        </w:rPr>
        <w:t>onizirajućeg zračenja (</w:t>
      </w:r>
      <w:r w:rsidRPr="007A64C0">
        <w:rPr>
          <w:rFonts w:asciiTheme="minorHAnsi" w:hAnsiTheme="minorHAnsi"/>
        </w:rPr>
        <w:t>„Službeni list EU”, broj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L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159</w:t>
      </w:r>
      <w:r w:rsidRPr="00383FAF">
        <w:rPr>
          <w:rFonts w:asciiTheme="minorHAnsi" w:eastAsia="Times New Roman" w:hAnsiTheme="minorHAnsi" w:cs="Times New Roman"/>
          <w:lang w:eastAsia="en-GB"/>
        </w:rPr>
        <w:t>, 2</w:t>
      </w:r>
      <w:r>
        <w:rPr>
          <w:rFonts w:asciiTheme="minorHAnsi" w:eastAsia="Times New Roman" w:hAnsiTheme="minorHAnsi" w:cs="Times New Roman"/>
          <w:lang w:eastAsia="en-GB"/>
        </w:rPr>
        <w:t>9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6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1996</w:t>
      </w:r>
      <w:r w:rsidRPr="00383FAF">
        <w:rPr>
          <w:rFonts w:asciiTheme="minorHAnsi" w:eastAsia="Times New Roman" w:hAnsiTheme="minorHAnsi" w:cs="Times New Roman"/>
          <w:lang w:eastAsia="en-GB"/>
        </w:rPr>
        <w:t>., str. 1</w:t>
      </w:r>
      <w:r w:rsidRPr="00C02634">
        <w:rPr>
          <w:rFonts w:asciiTheme="minorHAnsi" w:hAnsiTheme="minorHAnsi"/>
          <w:lang w:val="bs-Latn-BA"/>
        </w:rPr>
        <w:t>)</w:t>
      </w:r>
    </w:p>
  </w:footnote>
  <w:footnote w:id="3">
    <w:p w:rsidR="003206D0" w:rsidRPr="003206D0" w:rsidRDefault="003206D0" w:rsidP="00E7061F">
      <w:pPr>
        <w:pStyle w:val="FootnoteText"/>
        <w:jc w:val="both"/>
        <w:rPr>
          <w:lang w:val="bs-Latn-BA"/>
        </w:rPr>
      </w:pPr>
      <w:r w:rsidRPr="003206D0">
        <w:rPr>
          <w:rStyle w:val="FootnoteReference"/>
          <w:rFonts w:asciiTheme="minorHAnsi" w:hAnsiTheme="minorHAnsi"/>
        </w:rPr>
        <w:footnoteRef/>
      </w:r>
      <w:r w:rsidRPr="003206D0">
        <w:rPr>
          <w:rFonts w:asciiTheme="minorHAnsi" w:hAnsiTheme="minorHAnsi"/>
        </w:rPr>
        <w:t xml:space="preserve"> </w:t>
      </w:r>
      <w:r w:rsidRPr="003206D0">
        <w:rPr>
          <w:rFonts w:asciiTheme="minorHAnsi" w:hAnsiTheme="minorHAnsi"/>
          <w:lang w:val="bs-Latn-BA"/>
        </w:rPr>
        <w:t xml:space="preserve">Direktiva Vijeća 98/83/EZ od 3. </w:t>
      </w:r>
      <w:r>
        <w:rPr>
          <w:rFonts w:asciiTheme="minorHAnsi" w:hAnsiTheme="minorHAnsi"/>
          <w:lang w:val="bs-Latn-BA"/>
        </w:rPr>
        <w:t>novembra</w:t>
      </w:r>
      <w:r w:rsidRPr="003206D0">
        <w:rPr>
          <w:rFonts w:asciiTheme="minorHAnsi" w:hAnsiTheme="minorHAnsi"/>
          <w:lang w:val="bs-Latn-BA"/>
        </w:rPr>
        <w:t xml:space="preserve"> 1998. o kvalitet</w:t>
      </w:r>
      <w:r>
        <w:rPr>
          <w:rFonts w:asciiTheme="minorHAnsi" w:hAnsiTheme="minorHAnsi"/>
          <w:lang w:val="bs-Latn-BA"/>
        </w:rPr>
        <w:t>u</w:t>
      </w:r>
      <w:r w:rsidRPr="003206D0">
        <w:rPr>
          <w:rFonts w:asciiTheme="minorHAnsi" w:hAnsiTheme="minorHAnsi"/>
          <w:lang w:val="bs-Latn-BA"/>
        </w:rPr>
        <w:t xml:space="preserve"> vode namijenjene za ljudsku potrošnju (</w:t>
      </w:r>
      <w:r w:rsidRPr="007A64C0">
        <w:rPr>
          <w:rFonts w:asciiTheme="minorHAnsi" w:hAnsiTheme="minorHAnsi"/>
        </w:rPr>
        <w:t>„Službeni list EU”, broj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L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330</w:t>
      </w:r>
      <w:r w:rsidRPr="00383FAF">
        <w:rPr>
          <w:rFonts w:asciiTheme="minorHAnsi" w:eastAsia="Times New Roman" w:hAnsiTheme="minorHAnsi" w:cs="Times New Roman"/>
          <w:lang w:eastAsia="en-GB"/>
        </w:rPr>
        <w:t xml:space="preserve">, </w:t>
      </w:r>
      <w:r>
        <w:rPr>
          <w:rFonts w:asciiTheme="minorHAnsi" w:eastAsia="Times New Roman" w:hAnsiTheme="minorHAnsi" w:cs="Times New Roman"/>
          <w:lang w:eastAsia="en-GB"/>
        </w:rPr>
        <w:t>5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12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1998</w:t>
      </w:r>
      <w:r w:rsidRPr="00383FAF">
        <w:rPr>
          <w:rFonts w:asciiTheme="minorHAnsi" w:eastAsia="Times New Roman" w:hAnsiTheme="minorHAnsi" w:cs="Times New Roman"/>
          <w:lang w:eastAsia="en-GB"/>
        </w:rPr>
        <w:t>., str. </w:t>
      </w:r>
      <w:r>
        <w:rPr>
          <w:rFonts w:asciiTheme="minorHAnsi" w:eastAsia="Times New Roman" w:hAnsiTheme="minorHAnsi" w:cs="Times New Roman"/>
          <w:lang w:eastAsia="en-GB"/>
        </w:rPr>
        <w:t>32</w:t>
      </w:r>
      <w:r w:rsidRPr="003206D0">
        <w:rPr>
          <w:rFonts w:asciiTheme="minorHAnsi" w:hAnsiTheme="minorHAnsi"/>
          <w:lang w:val="bs-Latn-BA"/>
        </w:rPr>
        <w:t>)</w:t>
      </w:r>
    </w:p>
  </w:footnote>
  <w:footnote w:id="4">
    <w:p w:rsidR="003206D0" w:rsidRPr="003206D0" w:rsidRDefault="003206D0" w:rsidP="00891410">
      <w:pPr>
        <w:pStyle w:val="FootnoteText"/>
        <w:jc w:val="both"/>
        <w:rPr>
          <w:rFonts w:asciiTheme="minorHAnsi" w:hAnsiTheme="minorHAnsi"/>
          <w:lang w:val="bs-Latn-BA"/>
        </w:rPr>
      </w:pPr>
      <w:r w:rsidRPr="003206D0">
        <w:rPr>
          <w:rStyle w:val="FootnoteReference"/>
          <w:rFonts w:asciiTheme="minorHAnsi" w:hAnsiTheme="minorHAnsi"/>
        </w:rPr>
        <w:footnoteRef/>
      </w:r>
      <w:r w:rsidRPr="003206D0">
        <w:rPr>
          <w:rFonts w:asciiTheme="minorHAnsi" w:hAnsiTheme="minorHAnsi"/>
        </w:rPr>
        <w:t xml:space="preserve"> </w:t>
      </w:r>
      <w:r w:rsidRPr="003206D0">
        <w:rPr>
          <w:rFonts w:asciiTheme="minorHAnsi" w:eastAsia="Times New Roman" w:hAnsiTheme="minorHAnsi" w:cs="Times New Roman"/>
          <w:lang w:val="bs-Latn-BA" w:eastAsia="en-GB"/>
        </w:rPr>
        <w:t xml:space="preserve">Uredba (EZ) </w:t>
      </w:r>
      <w:r w:rsidR="004F1AEE" w:rsidRPr="003206D0">
        <w:rPr>
          <w:rFonts w:asciiTheme="minorHAnsi" w:eastAsia="Times New Roman" w:hAnsiTheme="minorHAnsi" w:cs="Times New Roman"/>
          <w:lang w:val="bs-Latn-BA" w:eastAsia="en-GB"/>
        </w:rPr>
        <w:t>E</w:t>
      </w:r>
      <w:r w:rsidR="004F1AEE">
        <w:rPr>
          <w:rFonts w:asciiTheme="minorHAnsi" w:eastAsia="Times New Roman" w:hAnsiTheme="minorHAnsi" w:cs="Times New Roman"/>
          <w:lang w:val="bs-Latn-BA" w:eastAsia="en-GB"/>
        </w:rPr>
        <w:t>v</w:t>
      </w:r>
      <w:r w:rsidR="004F1AEE" w:rsidRPr="003206D0">
        <w:rPr>
          <w:rFonts w:asciiTheme="minorHAnsi" w:eastAsia="Times New Roman" w:hAnsiTheme="minorHAnsi" w:cs="Times New Roman"/>
          <w:lang w:val="bs-Latn-BA" w:eastAsia="en-GB"/>
        </w:rPr>
        <w:t xml:space="preserve">ropskog parlamenta i Vijeća </w:t>
      </w:r>
      <w:r w:rsidRPr="003206D0">
        <w:rPr>
          <w:rFonts w:asciiTheme="minorHAnsi" w:eastAsia="Times New Roman" w:hAnsiTheme="minorHAnsi" w:cs="Times New Roman"/>
          <w:lang w:val="bs-Latn-BA" w:eastAsia="en-GB"/>
        </w:rPr>
        <w:t xml:space="preserve">br. 852/2004 od 29. </w:t>
      </w:r>
      <w:r w:rsidR="00891410">
        <w:rPr>
          <w:rFonts w:asciiTheme="minorHAnsi" w:eastAsia="Times New Roman" w:hAnsiTheme="minorHAnsi" w:cs="Times New Roman"/>
          <w:lang w:val="bs-Latn-BA" w:eastAsia="en-GB"/>
        </w:rPr>
        <w:t>aprila</w:t>
      </w:r>
      <w:r w:rsidRPr="003206D0">
        <w:rPr>
          <w:rFonts w:asciiTheme="minorHAnsi" w:eastAsia="Times New Roman" w:hAnsiTheme="minorHAnsi" w:cs="Times New Roman"/>
          <w:lang w:val="bs-Latn-BA" w:eastAsia="en-GB"/>
        </w:rPr>
        <w:t xml:space="preserve"> 2004. o higijeni </w:t>
      </w:r>
      <w:r w:rsidR="00AD0C25">
        <w:rPr>
          <w:rFonts w:asciiTheme="minorHAnsi" w:eastAsia="Times New Roman" w:hAnsiTheme="minorHAnsi" w:cs="Times New Roman"/>
          <w:lang w:val="bs-Latn-BA" w:eastAsia="en-GB"/>
        </w:rPr>
        <w:t>prehrambenih artikala</w:t>
      </w:r>
      <w:r w:rsidRPr="003206D0">
        <w:rPr>
          <w:rFonts w:asciiTheme="minorHAnsi" w:eastAsia="Times New Roman" w:hAnsiTheme="minorHAnsi" w:cs="Times New Roman"/>
          <w:lang w:val="bs-Latn-BA" w:eastAsia="en-GB"/>
        </w:rPr>
        <w:t xml:space="preserve"> (</w:t>
      </w:r>
      <w:r w:rsidRPr="007A64C0">
        <w:rPr>
          <w:rFonts w:asciiTheme="minorHAnsi" w:hAnsiTheme="minorHAnsi"/>
        </w:rPr>
        <w:t>„Službeni list EU”, broj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L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139</w:t>
      </w:r>
      <w:r w:rsidRPr="00383FAF">
        <w:rPr>
          <w:rFonts w:asciiTheme="minorHAnsi" w:eastAsia="Times New Roman" w:hAnsiTheme="minorHAnsi" w:cs="Times New Roman"/>
          <w:lang w:eastAsia="en-GB"/>
        </w:rPr>
        <w:t xml:space="preserve">, </w:t>
      </w:r>
      <w:r>
        <w:rPr>
          <w:rFonts w:asciiTheme="minorHAnsi" w:eastAsia="Times New Roman" w:hAnsiTheme="minorHAnsi" w:cs="Times New Roman"/>
          <w:lang w:eastAsia="en-GB"/>
        </w:rPr>
        <w:t>30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4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2004</w:t>
      </w:r>
      <w:r w:rsidRPr="00383FAF">
        <w:rPr>
          <w:rFonts w:asciiTheme="minorHAnsi" w:eastAsia="Times New Roman" w:hAnsiTheme="minorHAnsi" w:cs="Times New Roman"/>
          <w:lang w:eastAsia="en-GB"/>
        </w:rPr>
        <w:t>., str. 1</w:t>
      </w:r>
      <w:r w:rsidRPr="003206D0">
        <w:rPr>
          <w:rFonts w:asciiTheme="minorHAnsi" w:eastAsia="Times New Roman" w:hAnsiTheme="minorHAnsi" w:cs="Times New Roman"/>
          <w:lang w:val="bs-Latn-BA" w:eastAsia="en-GB"/>
        </w:rPr>
        <w:t>)</w:t>
      </w:r>
    </w:p>
  </w:footnote>
  <w:footnote w:id="5">
    <w:p w:rsidR="00891410" w:rsidRPr="00891410" w:rsidRDefault="00891410" w:rsidP="00891410">
      <w:pPr>
        <w:pStyle w:val="FootnoteText"/>
        <w:jc w:val="both"/>
        <w:rPr>
          <w:rFonts w:asciiTheme="minorHAnsi" w:hAnsiTheme="minorHAnsi"/>
          <w:lang w:val="bs-Latn-BA"/>
        </w:rPr>
      </w:pPr>
      <w:r w:rsidRPr="00891410">
        <w:rPr>
          <w:rStyle w:val="FootnoteReference"/>
          <w:rFonts w:asciiTheme="minorHAnsi" w:hAnsiTheme="minorHAnsi"/>
        </w:rPr>
        <w:footnoteRef/>
      </w:r>
      <w:r w:rsidRPr="00891410">
        <w:rPr>
          <w:rFonts w:asciiTheme="minorHAnsi" w:hAnsiTheme="minorHAnsi"/>
        </w:rPr>
        <w:t xml:space="preserve"> 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Uredba (EZ) </w:t>
      </w:r>
      <w:r w:rsidR="004F1AEE" w:rsidRPr="003206D0">
        <w:rPr>
          <w:rFonts w:asciiTheme="minorHAnsi" w:eastAsia="Times New Roman" w:hAnsiTheme="minorHAnsi" w:cs="Times New Roman"/>
          <w:lang w:val="bs-Latn-BA" w:eastAsia="en-GB"/>
        </w:rPr>
        <w:t>E</w:t>
      </w:r>
      <w:r w:rsidR="004F1AEE">
        <w:rPr>
          <w:rFonts w:asciiTheme="minorHAnsi" w:eastAsia="Times New Roman" w:hAnsiTheme="minorHAnsi" w:cs="Times New Roman"/>
          <w:lang w:val="bs-Latn-BA" w:eastAsia="en-GB"/>
        </w:rPr>
        <w:t>v</w:t>
      </w:r>
      <w:r w:rsidR="004F1AEE" w:rsidRPr="003206D0">
        <w:rPr>
          <w:rFonts w:asciiTheme="minorHAnsi" w:eastAsia="Times New Roman" w:hAnsiTheme="minorHAnsi" w:cs="Times New Roman"/>
          <w:lang w:val="bs-Latn-BA" w:eastAsia="en-GB"/>
        </w:rPr>
        <w:t xml:space="preserve">ropskog parlamenta i Vijeća </w:t>
      </w:r>
      <w:r w:rsidR="004F1AEE" w:rsidRPr="00891410">
        <w:rPr>
          <w:rFonts w:asciiTheme="minorHAnsi" w:eastAsia="Times New Roman" w:hAnsiTheme="minorHAnsi" w:cs="Times New Roman"/>
          <w:lang w:val="bs-Latn-BA" w:eastAsia="en-GB"/>
        </w:rPr>
        <w:t xml:space="preserve">br. 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882/2004 od 29. </w:t>
      </w:r>
      <w:r>
        <w:rPr>
          <w:rFonts w:asciiTheme="minorHAnsi" w:eastAsia="Times New Roman" w:hAnsiTheme="minorHAnsi" w:cs="Times New Roman"/>
          <w:lang w:val="bs-Latn-BA" w:eastAsia="en-GB"/>
        </w:rPr>
        <w:t>aprila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 2004. o služben</w:t>
      </w:r>
      <w:r w:rsidR="00AD0C25">
        <w:rPr>
          <w:rFonts w:asciiTheme="minorHAnsi" w:eastAsia="Times New Roman" w:hAnsiTheme="minorHAnsi" w:cs="Times New Roman"/>
          <w:lang w:val="bs-Latn-BA" w:eastAsia="en-GB"/>
        </w:rPr>
        <w:t>i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>m</w:t>
      </w:r>
      <w:r w:rsidR="00AD0C25">
        <w:rPr>
          <w:rFonts w:asciiTheme="minorHAnsi" w:eastAsia="Times New Roman" w:hAnsiTheme="minorHAnsi" w:cs="Times New Roman"/>
          <w:lang w:val="bs-Latn-BA" w:eastAsia="en-GB"/>
        </w:rPr>
        <w:t xml:space="preserve"> mjerama kontrole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 koj</w:t>
      </w:r>
      <w:r w:rsidR="00AD0C25">
        <w:rPr>
          <w:rFonts w:asciiTheme="minorHAnsi" w:eastAsia="Times New Roman" w:hAnsiTheme="minorHAnsi" w:cs="Times New Roman"/>
          <w:lang w:val="bs-Latn-BA" w:eastAsia="en-GB"/>
        </w:rPr>
        <w:t>e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 se provod</w:t>
      </w:r>
      <w:r w:rsidR="00AD0C25">
        <w:rPr>
          <w:rFonts w:asciiTheme="minorHAnsi" w:eastAsia="Times New Roman" w:hAnsiTheme="minorHAnsi" w:cs="Times New Roman"/>
          <w:lang w:val="bs-Latn-BA" w:eastAsia="en-GB"/>
        </w:rPr>
        <w:t>e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 </w:t>
      </w:r>
      <w:r w:rsidR="00AD0C25">
        <w:rPr>
          <w:rFonts w:asciiTheme="minorHAnsi" w:eastAsia="Times New Roman" w:hAnsiTheme="minorHAnsi" w:cs="Times New Roman"/>
          <w:lang w:val="bs-Latn-BA" w:eastAsia="en-GB"/>
        </w:rPr>
        <w:t>u cilju verifikacije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 p</w:t>
      </w:r>
      <w:r w:rsidR="00AD0C25">
        <w:rPr>
          <w:rFonts w:asciiTheme="minorHAnsi" w:eastAsia="Times New Roman" w:hAnsiTheme="minorHAnsi" w:cs="Times New Roman"/>
          <w:lang w:val="bs-Latn-BA" w:eastAsia="en-GB"/>
        </w:rPr>
        <w:t>oštovanja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 </w:t>
      </w:r>
      <w:r w:rsidR="00AD0C25">
        <w:rPr>
          <w:rFonts w:asciiTheme="minorHAnsi" w:eastAsia="Times New Roman" w:hAnsiTheme="minorHAnsi" w:cs="Times New Roman"/>
          <w:lang w:val="bs-Latn-BA" w:eastAsia="en-GB"/>
        </w:rPr>
        <w:t>zakonodavstva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 o hrani i hrani za životinje te pravila o zdravlju i dobrobiti životinja (</w:t>
      </w:r>
      <w:r w:rsidRPr="007A64C0">
        <w:rPr>
          <w:rFonts w:asciiTheme="minorHAnsi" w:hAnsiTheme="minorHAnsi"/>
        </w:rPr>
        <w:t>„Službeni list EU”, broj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L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165</w:t>
      </w:r>
      <w:r w:rsidRPr="00383FAF">
        <w:rPr>
          <w:rFonts w:asciiTheme="minorHAnsi" w:eastAsia="Times New Roman" w:hAnsiTheme="minorHAnsi" w:cs="Times New Roman"/>
          <w:lang w:eastAsia="en-GB"/>
        </w:rPr>
        <w:t xml:space="preserve">, </w:t>
      </w:r>
      <w:r>
        <w:rPr>
          <w:rFonts w:asciiTheme="minorHAnsi" w:eastAsia="Times New Roman" w:hAnsiTheme="minorHAnsi" w:cs="Times New Roman"/>
          <w:lang w:eastAsia="en-GB"/>
        </w:rPr>
        <w:t>30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4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2004</w:t>
      </w:r>
      <w:r w:rsidRPr="00383FAF">
        <w:rPr>
          <w:rFonts w:asciiTheme="minorHAnsi" w:eastAsia="Times New Roman" w:hAnsiTheme="minorHAnsi" w:cs="Times New Roman"/>
          <w:lang w:eastAsia="en-GB"/>
        </w:rPr>
        <w:t>., str. 1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>)</w:t>
      </w:r>
    </w:p>
  </w:footnote>
  <w:footnote w:id="6">
    <w:p w:rsidR="00891410" w:rsidRPr="00891410" w:rsidRDefault="00891410" w:rsidP="00891410">
      <w:pPr>
        <w:pStyle w:val="FootnoteText"/>
        <w:jc w:val="both"/>
        <w:rPr>
          <w:lang w:val="bs-Latn-BA"/>
        </w:rPr>
      </w:pPr>
      <w:r w:rsidRPr="00891410">
        <w:rPr>
          <w:rStyle w:val="FootnoteReference"/>
          <w:rFonts w:asciiTheme="minorHAnsi" w:hAnsiTheme="minorHAnsi"/>
        </w:rPr>
        <w:footnoteRef/>
      </w:r>
      <w:r w:rsidRPr="00891410">
        <w:rPr>
          <w:rFonts w:asciiTheme="minorHAnsi" w:hAnsiTheme="minorHAnsi"/>
        </w:rPr>
        <w:t xml:space="preserve"> </w:t>
      </w:r>
      <w:r w:rsidR="002A2DFA">
        <w:rPr>
          <w:rFonts w:asciiTheme="minorHAnsi" w:eastAsia="Times New Roman" w:hAnsiTheme="minorHAnsi" w:cs="Times New Roman"/>
          <w:lang w:val="bs-Latn-BA" w:eastAsia="en-GB"/>
        </w:rPr>
        <w:t xml:space="preserve">Direktiva </w:t>
      </w:r>
      <w:r w:rsidR="004F1AEE">
        <w:rPr>
          <w:rFonts w:asciiTheme="minorHAnsi" w:eastAsia="Times New Roman" w:hAnsiTheme="minorHAnsi" w:cs="Times New Roman"/>
          <w:lang w:val="bs-Latn-BA" w:eastAsia="en-GB"/>
        </w:rPr>
        <w:t>Ev</w:t>
      </w:r>
      <w:r w:rsidR="004F1AEE" w:rsidRPr="00891410">
        <w:rPr>
          <w:rFonts w:asciiTheme="minorHAnsi" w:eastAsia="Times New Roman" w:hAnsiTheme="minorHAnsi" w:cs="Times New Roman"/>
          <w:lang w:val="bs-Latn-BA" w:eastAsia="en-GB"/>
        </w:rPr>
        <w:t>ropskog parlamenta i Vijeća</w:t>
      </w:r>
      <w:r w:rsidR="004F1AEE">
        <w:rPr>
          <w:rFonts w:asciiTheme="minorHAnsi" w:eastAsia="Times New Roman" w:hAnsiTheme="minorHAnsi" w:cs="Times New Roman"/>
          <w:lang w:val="bs-Latn-BA" w:eastAsia="en-GB"/>
        </w:rPr>
        <w:t xml:space="preserve"> </w:t>
      </w:r>
      <w:r w:rsidR="002A2DFA">
        <w:rPr>
          <w:rFonts w:asciiTheme="minorHAnsi" w:eastAsia="Times New Roman" w:hAnsiTheme="minorHAnsi" w:cs="Times New Roman"/>
          <w:lang w:val="bs-Latn-BA" w:eastAsia="en-GB"/>
        </w:rPr>
        <w:t xml:space="preserve">2009/54/EZ 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od 18. </w:t>
      </w:r>
      <w:r>
        <w:rPr>
          <w:rFonts w:asciiTheme="minorHAnsi" w:eastAsia="Times New Roman" w:hAnsiTheme="minorHAnsi" w:cs="Times New Roman"/>
          <w:lang w:val="bs-Latn-BA" w:eastAsia="en-GB"/>
        </w:rPr>
        <w:t>juna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 2009. o </w:t>
      </w:r>
      <w:r w:rsidR="00767D44">
        <w:rPr>
          <w:rFonts w:asciiTheme="minorHAnsi" w:eastAsia="Times New Roman" w:hAnsiTheme="minorHAnsi" w:cs="Times New Roman"/>
          <w:lang w:val="bs-Latn-BA" w:eastAsia="en-GB"/>
        </w:rPr>
        <w:t>eksploataciji</w:t>
      </w:r>
      <w:r w:rsidRPr="00891410">
        <w:rPr>
          <w:rFonts w:asciiTheme="minorHAnsi" w:eastAsia="Times New Roman" w:hAnsiTheme="minorHAnsi" w:cs="Times New Roman"/>
          <w:lang w:val="bs-Latn-BA" w:eastAsia="en-GB"/>
        </w:rPr>
        <w:t xml:space="preserve"> i stavljanju na tržište prirodnih mineralnih voda (</w:t>
      </w:r>
      <w:r w:rsidRPr="007A64C0">
        <w:rPr>
          <w:rFonts w:asciiTheme="minorHAnsi" w:hAnsiTheme="minorHAnsi"/>
        </w:rPr>
        <w:t>„Službeni list EU”, broj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L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164</w:t>
      </w:r>
      <w:r w:rsidRPr="00383FAF">
        <w:rPr>
          <w:rFonts w:asciiTheme="minorHAnsi" w:eastAsia="Times New Roman" w:hAnsiTheme="minorHAnsi" w:cs="Times New Roman"/>
          <w:lang w:eastAsia="en-GB"/>
        </w:rPr>
        <w:t xml:space="preserve">, </w:t>
      </w:r>
      <w:r>
        <w:rPr>
          <w:rFonts w:asciiTheme="minorHAnsi" w:eastAsia="Times New Roman" w:hAnsiTheme="minorHAnsi" w:cs="Times New Roman"/>
          <w:lang w:eastAsia="en-GB"/>
        </w:rPr>
        <w:t>26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6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2009., str. 45)</w:t>
      </w:r>
    </w:p>
  </w:footnote>
  <w:footnote w:id="7">
    <w:p w:rsidR="002A2DFA" w:rsidRPr="002A2DFA" w:rsidRDefault="002A2DFA" w:rsidP="00BA173E">
      <w:pPr>
        <w:pStyle w:val="FootnoteText"/>
        <w:jc w:val="both"/>
        <w:rPr>
          <w:lang w:val="bs-Latn-BA"/>
        </w:rPr>
      </w:pPr>
      <w:r w:rsidRPr="00BA173E">
        <w:rPr>
          <w:rStyle w:val="FootnoteReference"/>
          <w:rFonts w:asciiTheme="minorHAnsi" w:hAnsiTheme="minorHAnsi"/>
        </w:rPr>
        <w:footnoteRef/>
      </w:r>
      <w:r>
        <w:t xml:space="preserve"> </w:t>
      </w:r>
      <w:r w:rsidR="00BA173E" w:rsidRPr="00BA173E">
        <w:rPr>
          <w:rFonts w:asciiTheme="minorHAnsi" w:eastAsia="Times New Roman" w:hAnsiTheme="minorHAnsi" w:cs="Times New Roman"/>
          <w:lang w:val="bs-Latn-BA" w:eastAsia="en-GB"/>
        </w:rPr>
        <w:t xml:space="preserve">Direktiva </w:t>
      </w:r>
      <w:r w:rsidR="004F1AEE" w:rsidRPr="00BA173E">
        <w:rPr>
          <w:rFonts w:asciiTheme="minorHAnsi" w:eastAsia="Times New Roman" w:hAnsiTheme="minorHAnsi" w:cs="Times New Roman"/>
          <w:lang w:val="bs-Latn-BA" w:eastAsia="en-GB"/>
        </w:rPr>
        <w:t>E</w:t>
      </w:r>
      <w:r w:rsidR="004F1AEE">
        <w:rPr>
          <w:rFonts w:asciiTheme="minorHAnsi" w:eastAsia="Times New Roman" w:hAnsiTheme="minorHAnsi" w:cs="Times New Roman"/>
          <w:lang w:val="bs-Latn-BA" w:eastAsia="en-GB"/>
        </w:rPr>
        <w:t>v</w:t>
      </w:r>
      <w:r w:rsidR="004F1AEE" w:rsidRPr="00BA173E">
        <w:rPr>
          <w:rFonts w:asciiTheme="minorHAnsi" w:eastAsia="Times New Roman" w:hAnsiTheme="minorHAnsi" w:cs="Times New Roman"/>
          <w:lang w:val="bs-Latn-BA" w:eastAsia="en-GB"/>
        </w:rPr>
        <w:t xml:space="preserve">ropskog parlamenta i Vijeća </w:t>
      </w:r>
      <w:r w:rsidR="00BA173E" w:rsidRPr="00BA173E">
        <w:rPr>
          <w:rFonts w:asciiTheme="minorHAnsi" w:eastAsia="Times New Roman" w:hAnsiTheme="minorHAnsi" w:cs="Times New Roman"/>
          <w:lang w:val="bs-Latn-BA" w:eastAsia="en-GB"/>
        </w:rPr>
        <w:t xml:space="preserve">2001/83/EZ od 6. </w:t>
      </w:r>
      <w:r w:rsidR="00F82256">
        <w:rPr>
          <w:rFonts w:asciiTheme="minorHAnsi" w:eastAsia="Times New Roman" w:hAnsiTheme="minorHAnsi" w:cs="Times New Roman"/>
          <w:lang w:val="bs-Latn-BA" w:eastAsia="en-GB"/>
        </w:rPr>
        <w:t>novembra</w:t>
      </w:r>
      <w:r w:rsidR="00BA173E" w:rsidRPr="00BA173E">
        <w:rPr>
          <w:rFonts w:asciiTheme="minorHAnsi" w:eastAsia="Times New Roman" w:hAnsiTheme="minorHAnsi" w:cs="Times New Roman"/>
          <w:lang w:val="bs-Latn-BA" w:eastAsia="en-GB"/>
        </w:rPr>
        <w:t xml:space="preserve"> 2001. o z</w:t>
      </w:r>
      <w:r w:rsidR="00F82256">
        <w:rPr>
          <w:rFonts w:asciiTheme="minorHAnsi" w:eastAsia="Times New Roman" w:hAnsiTheme="minorHAnsi" w:cs="Times New Roman"/>
          <w:lang w:val="bs-Latn-BA" w:eastAsia="en-GB"/>
        </w:rPr>
        <w:t>akoniku</w:t>
      </w:r>
      <w:r w:rsidR="00BA173E" w:rsidRPr="00BA173E">
        <w:rPr>
          <w:rFonts w:asciiTheme="minorHAnsi" w:eastAsia="Times New Roman" w:hAnsiTheme="minorHAnsi" w:cs="Times New Roman"/>
          <w:lang w:val="bs-Latn-BA" w:eastAsia="en-GB"/>
        </w:rPr>
        <w:t xml:space="preserve"> Zajednice o </w:t>
      </w:r>
      <w:r w:rsidR="00F82256">
        <w:rPr>
          <w:rFonts w:asciiTheme="minorHAnsi" w:eastAsia="Times New Roman" w:hAnsiTheme="minorHAnsi" w:cs="Times New Roman"/>
          <w:lang w:val="bs-Latn-BA" w:eastAsia="en-GB"/>
        </w:rPr>
        <w:t>medicinskim proizvodima</w:t>
      </w:r>
      <w:r w:rsidR="00BA173E" w:rsidRPr="00BA173E">
        <w:rPr>
          <w:rFonts w:asciiTheme="minorHAnsi" w:eastAsia="Times New Roman" w:hAnsiTheme="minorHAnsi" w:cs="Times New Roman"/>
          <w:lang w:val="bs-Latn-BA" w:eastAsia="en-GB"/>
        </w:rPr>
        <w:t xml:space="preserve"> za </w:t>
      </w:r>
      <w:r w:rsidR="00F82256">
        <w:rPr>
          <w:rFonts w:asciiTheme="minorHAnsi" w:eastAsia="Times New Roman" w:hAnsiTheme="minorHAnsi" w:cs="Times New Roman"/>
          <w:lang w:val="bs-Latn-BA" w:eastAsia="en-GB"/>
        </w:rPr>
        <w:t>ljudsku upotrebu</w:t>
      </w:r>
      <w:r w:rsidR="00BA173E" w:rsidRPr="00BA173E">
        <w:rPr>
          <w:rFonts w:asciiTheme="minorHAnsi" w:eastAsia="Times New Roman" w:hAnsiTheme="minorHAnsi" w:cs="Times New Roman"/>
          <w:lang w:val="bs-Latn-BA" w:eastAsia="en-GB"/>
        </w:rPr>
        <w:t xml:space="preserve"> </w:t>
      </w:r>
      <w:r w:rsidR="00BA173E" w:rsidRPr="00891410">
        <w:rPr>
          <w:rFonts w:asciiTheme="minorHAnsi" w:eastAsia="Times New Roman" w:hAnsiTheme="minorHAnsi" w:cs="Times New Roman"/>
          <w:lang w:val="bs-Latn-BA" w:eastAsia="en-GB"/>
        </w:rPr>
        <w:t>(</w:t>
      </w:r>
      <w:r w:rsidR="00BA173E" w:rsidRPr="007A64C0">
        <w:rPr>
          <w:rFonts w:asciiTheme="minorHAnsi" w:hAnsiTheme="minorHAnsi"/>
        </w:rPr>
        <w:t>„Službeni list EU”, broj</w:t>
      </w:r>
      <w:r w:rsidR="00BA173E" w:rsidRPr="00383FAF">
        <w:rPr>
          <w:rFonts w:asciiTheme="minorHAnsi" w:hAnsiTheme="minorHAnsi"/>
          <w:lang w:val="en-US"/>
        </w:rPr>
        <w:t xml:space="preserve"> </w:t>
      </w:r>
      <w:r w:rsidR="00BA173E">
        <w:rPr>
          <w:rFonts w:asciiTheme="minorHAnsi" w:hAnsiTheme="minorHAnsi"/>
          <w:lang w:val="en-US"/>
        </w:rPr>
        <w:t>L</w:t>
      </w:r>
      <w:r w:rsidR="00BA173E" w:rsidRPr="00383FAF">
        <w:rPr>
          <w:rFonts w:asciiTheme="minorHAnsi" w:hAnsiTheme="minorHAnsi"/>
          <w:lang w:val="en-US"/>
        </w:rPr>
        <w:t xml:space="preserve"> </w:t>
      </w:r>
      <w:r w:rsidR="00BA173E">
        <w:rPr>
          <w:rFonts w:asciiTheme="minorHAnsi" w:hAnsiTheme="minorHAnsi"/>
          <w:lang w:val="en-US"/>
        </w:rPr>
        <w:t>311</w:t>
      </w:r>
      <w:r w:rsidR="00BA173E" w:rsidRPr="00383FAF">
        <w:rPr>
          <w:rFonts w:asciiTheme="minorHAnsi" w:eastAsia="Times New Roman" w:hAnsiTheme="minorHAnsi" w:cs="Times New Roman"/>
          <w:lang w:eastAsia="en-GB"/>
        </w:rPr>
        <w:t xml:space="preserve">, </w:t>
      </w:r>
      <w:r w:rsidR="00BA173E">
        <w:rPr>
          <w:rFonts w:asciiTheme="minorHAnsi" w:eastAsia="Times New Roman" w:hAnsiTheme="minorHAnsi" w:cs="Times New Roman"/>
          <w:lang w:eastAsia="en-GB"/>
        </w:rPr>
        <w:t>28</w:t>
      </w:r>
      <w:r w:rsidR="00BA173E" w:rsidRPr="00383FAF">
        <w:rPr>
          <w:rFonts w:asciiTheme="minorHAnsi" w:eastAsia="Times New Roman" w:hAnsiTheme="minorHAnsi" w:cs="Times New Roman"/>
          <w:lang w:eastAsia="en-GB"/>
        </w:rPr>
        <w:t>.</w:t>
      </w:r>
      <w:r w:rsidR="00BA173E">
        <w:rPr>
          <w:rFonts w:asciiTheme="minorHAnsi" w:eastAsia="Times New Roman" w:hAnsiTheme="minorHAnsi" w:cs="Times New Roman"/>
          <w:lang w:eastAsia="en-GB"/>
        </w:rPr>
        <w:t>11</w:t>
      </w:r>
      <w:r w:rsidR="00BA173E" w:rsidRPr="00383FAF">
        <w:rPr>
          <w:rFonts w:asciiTheme="minorHAnsi" w:eastAsia="Times New Roman" w:hAnsiTheme="minorHAnsi" w:cs="Times New Roman"/>
          <w:lang w:eastAsia="en-GB"/>
        </w:rPr>
        <w:t>.</w:t>
      </w:r>
      <w:r w:rsidR="00BA173E">
        <w:rPr>
          <w:rFonts w:asciiTheme="minorHAnsi" w:eastAsia="Times New Roman" w:hAnsiTheme="minorHAnsi" w:cs="Times New Roman"/>
          <w:lang w:eastAsia="en-GB"/>
        </w:rPr>
        <w:t>2001., str. 67)</w:t>
      </w:r>
    </w:p>
  </w:footnote>
  <w:footnote w:id="8">
    <w:p w:rsidR="002A2DFA" w:rsidRPr="00BA173E" w:rsidRDefault="002A2DFA" w:rsidP="00BA173E">
      <w:pPr>
        <w:pStyle w:val="FootnoteText"/>
        <w:jc w:val="both"/>
        <w:rPr>
          <w:rFonts w:asciiTheme="minorHAnsi" w:hAnsiTheme="minorHAnsi"/>
          <w:lang w:val="bs-Latn-BA"/>
        </w:rPr>
      </w:pPr>
      <w:r w:rsidRPr="00BA173E">
        <w:rPr>
          <w:rStyle w:val="FootnoteReference"/>
          <w:rFonts w:asciiTheme="minorHAnsi" w:hAnsiTheme="minorHAnsi"/>
        </w:rPr>
        <w:footnoteRef/>
      </w:r>
      <w:r w:rsidRPr="00BA173E">
        <w:rPr>
          <w:rFonts w:asciiTheme="minorHAnsi" w:hAnsiTheme="minorHAnsi"/>
        </w:rPr>
        <w:t xml:space="preserve"> </w:t>
      </w:r>
      <w:r w:rsidR="00BA173E" w:rsidRPr="00BA173E">
        <w:rPr>
          <w:rFonts w:asciiTheme="minorHAnsi" w:eastAsia="Times New Roman" w:hAnsiTheme="minorHAnsi" w:cs="Times New Roman"/>
          <w:lang w:val="bs-Latn-BA" w:eastAsia="en-GB"/>
        </w:rPr>
        <w:t xml:space="preserve">Preporuka Komisije 2001/928/Euratom od 20. </w:t>
      </w:r>
      <w:r w:rsidR="00F82256">
        <w:rPr>
          <w:rFonts w:asciiTheme="minorHAnsi" w:eastAsia="Times New Roman" w:hAnsiTheme="minorHAnsi" w:cs="Times New Roman"/>
          <w:lang w:val="bs-Latn-BA" w:eastAsia="en-GB"/>
        </w:rPr>
        <w:t>decembra</w:t>
      </w:r>
      <w:r w:rsidR="00BA173E" w:rsidRPr="00BA173E">
        <w:rPr>
          <w:rFonts w:asciiTheme="minorHAnsi" w:eastAsia="Times New Roman" w:hAnsiTheme="minorHAnsi" w:cs="Times New Roman"/>
          <w:lang w:val="bs-Latn-BA" w:eastAsia="en-GB"/>
        </w:rPr>
        <w:t xml:space="preserve"> 2001. o zaštiti </w:t>
      </w:r>
      <w:r w:rsidR="00F82256">
        <w:rPr>
          <w:rFonts w:asciiTheme="minorHAnsi" w:eastAsia="Times New Roman" w:hAnsiTheme="minorHAnsi" w:cs="Times New Roman"/>
          <w:lang w:val="bs-Latn-BA" w:eastAsia="en-GB"/>
        </w:rPr>
        <w:t>stanovništva</w:t>
      </w:r>
      <w:r w:rsidR="00BA173E" w:rsidRPr="00BA173E">
        <w:rPr>
          <w:rFonts w:asciiTheme="minorHAnsi" w:eastAsia="Times New Roman" w:hAnsiTheme="minorHAnsi" w:cs="Times New Roman"/>
          <w:lang w:val="bs-Latn-BA" w:eastAsia="en-GB"/>
        </w:rPr>
        <w:t xml:space="preserve"> od </w:t>
      </w:r>
      <w:r w:rsidR="00F82256">
        <w:rPr>
          <w:rFonts w:asciiTheme="minorHAnsi" w:eastAsia="Times New Roman" w:hAnsiTheme="minorHAnsi" w:cs="Times New Roman"/>
          <w:lang w:val="bs-Latn-BA" w:eastAsia="en-GB"/>
        </w:rPr>
        <w:t>ekspozicije</w:t>
      </w:r>
      <w:r w:rsidR="00BA173E" w:rsidRPr="00BA173E">
        <w:rPr>
          <w:rFonts w:asciiTheme="minorHAnsi" w:eastAsia="Times New Roman" w:hAnsiTheme="minorHAnsi" w:cs="Times New Roman"/>
          <w:lang w:val="bs-Latn-BA" w:eastAsia="en-GB"/>
        </w:rPr>
        <w:t xml:space="preserve"> radonu u </w:t>
      </w:r>
      <w:r w:rsidR="00BC7820">
        <w:rPr>
          <w:rFonts w:asciiTheme="minorHAnsi" w:eastAsia="Times New Roman" w:hAnsiTheme="minorHAnsi" w:cs="Times New Roman"/>
          <w:lang w:val="bs-Latn-BA" w:eastAsia="en-GB"/>
        </w:rPr>
        <w:t>vod</w:t>
      </w:r>
      <w:r w:rsidR="002F1101">
        <w:rPr>
          <w:rFonts w:asciiTheme="minorHAnsi" w:eastAsia="Times New Roman" w:hAnsiTheme="minorHAnsi" w:cs="Times New Roman"/>
          <w:lang w:val="bs-Latn-BA" w:eastAsia="en-GB"/>
        </w:rPr>
        <w:t>i</w:t>
      </w:r>
      <w:r w:rsidR="00BC7820">
        <w:rPr>
          <w:rFonts w:asciiTheme="minorHAnsi" w:eastAsia="Times New Roman" w:hAnsiTheme="minorHAnsi" w:cs="Times New Roman"/>
          <w:lang w:val="bs-Latn-BA" w:eastAsia="en-GB"/>
        </w:rPr>
        <w:t xml:space="preserve"> za piće</w:t>
      </w:r>
      <w:r w:rsidR="00BA173E" w:rsidRPr="00BA173E">
        <w:rPr>
          <w:rFonts w:asciiTheme="minorHAnsi" w:eastAsia="Times New Roman" w:hAnsiTheme="minorHAnsi" w:cs="Times New Roman"/>
          <w:lang w:val="bs-Latn-BA" w:eastAsia="en-GB"/>
        </w:rPr>
        <w:t xml:space="preserve"> </w:t>
      </w:r>
      <w:r w:rsidR="008A42A4" w:rsidRPr="00891410">
        <w:rPr>
          <w:rFonts w:asciiTheme="minorHAnsi" w:eastAsia="Times New Roman" w:hAnsiTheme="minorHAnsi" w:cs="Times New Roman"/>
          <w:lang w:val="bs-Latn-BA" w:eastAsia="en-GB"/>
        </w:rPr>
        <w:t>(</w:t>
      </w:r>
      <w:r w:rsidR="008A42A4" w:rsidRPr="007A64C0">
        <w:rPr>
          <w:rFonts w:asciiTheme="minorHAnsi" w:hAnsiTheme="minorHAnsi"/>
        </w:rPr>
        <w:t>„Službeni list EU”, broj</w:t>
      </w:r>
      <w:r w:rsidR="008A42A4" w:rsidRPr="00383FAF">
        <w:rPr>
          <w:rFonts w:asciiTheme="minorHAnsi" w:hAnsiTheme="minorHAnsi"/>
          <w:lang w:val="en-US"/>
        </w:rPr>
        <w:t xml:space="preserve"> </w:t>
      </w:r>
      <w:r w:rsidR="008A42A4">
        <w:rPr>
          <w:rFonts w:asciiTheme="minorHAnsi" w:hAnsiTheme="minorHAnsi"/>
          <w:lang w:val="en-US"/>
        </w:rPr>
        <w:t>L</w:t>
      </w:r>
      <w:r w:rsidR="008A42A4" w:rsidRPr="00383FAF">
        <w:rPr>
          <w:rFonts w:asciiTheme="minorHAnsi" w:hAnsiTheme="minorHAnsi"/>
          <w:lang w:val="en-US"/>
        </w:rPr>
        <w:t xml:space="preserve"> </w:t>
      </w:r>
      <w:r w:rsidR="008A42A4">
        <w:rPr>
          <w:rFonts w:asciiTheme="minorHAnsi" w:hAnsiTheme="minorHAnsi"/>
          <w:lang w:val="en-US"/>
        </w:rPr>
        <w:t>344</w:t>
      </w:r>
      <w:r w:rsidR="008A42A4" w:rsidRPr="00383FAF">
        <w:rPr>
          <w:rFonts w:asciiTheme="minorHAnsi" w:eastAsia="Times New Roman" w:hAnsiTheme="minorHAnsi" w:cs="Times New Roman"/>
          <w:lang w:eastAsia="en-GB"/>
        </w:rPr>
        <w:t xml:space="preserve">, </w:t>
      </w:r>
      <w:r w:rsidR="008A42A4">
        <w:rPr>
          <w:rFonts w:asciiTheme="minorHAnsi" w:eastAsia="Times New Roman" w:hAnsiTheme="minorHAnsi" w:cs="Times New Roman"/>
          <w:lang w:eastAsia="en-GB"/>
        </w:rPr>
        <w:t>28</w:t>
      </w:r>
      <w:r w:rsidR="008A42A4" w:rsidRPr="00383FAF">
        <w:rPr>
          <w:rFonts w:asciiTheme="minorHAnsi" w:eastAsia="Times New Roman" w:hAnsiTheme="minorHAnsi" w:cs="Times New Roman"/>
          <w:lang w:eastAsia="en-GB"/>
        </w:rPr>
        <w:t>.</w:t>
      </w:r>
      <w:r w:rsidR="008A42A4">
        <w:rPr>
          <w:rFonts w:asciiTheme="minorHAnsi" w:eastAsia="Times New Roman" w:hAnsiTheme="minorHAnsi" w:cs="Times New Roman"/>
          <w:lang w:eastAsia="en-GB"/>
        </w:rPr>
        <w:t>12</w:t>
      </w:r>
      <w:r w:rsidR="008A42A4" w:rsidRPr="00383FAF">
        <w:rPr>
          <w:rFonts w:asciiTheme="minorHAnsi" w:eastAsia="Times New Roman" w:hAnsiTheme="minorHAnsi" w:cs="Times New Roman"/>
          <w:lang w:eastAsia="en-GB"/>
        </w:rPr>
        <w:t>.</w:t>
      </w:r>
      <w:r w:rsidR="008A42A4">
        <w:rPr>
          <w:rFonts w:asciiTheme="minorHAnsi" w:eastAsia="Times New Roman" w:hAnsiTheme="minorHAnsi" w:cs="Times New Roman"/>
          <w:lang w:eastAsia="en-GB"/>
        </w:rPr>
        <w:t>2001., str. 85)</w:t>
      </w:r>
    </w:p>
  </w:footnote>
  <w:footnote w:id="9">
    <w:p w:rsidR="008A42A4" w:rsidRPr="008A42A4" w:rsidRDefault="008A42A4" w:rsidP="008A42A4">
      <w:pPr>
        <w:pStyle w:val="FootnoteText"/>
        <w:jc w:val="both"/>
        <w:rPr>
          <w:rFonts w:asciiTheme="minorHAnsi" w:hAnsiTheme="minorHAnsi"/>
          <w:lang w:val="bs-Latn-BA"/>
        </w:rPr>
      </w:pPr>
      <w:r w:rsidRPr="008A42A4">
        <w:rPr>
          <w:rStyle w:val="FootnoteReference"/>
          <w:rFonts w:asciiTheme="minorHAnsi" w:hAnsiTheme="minorHAnsi"/>
        </w:rPr>
        <w:footnoteRef/>
      </w:r>
      <w:r w:rsidR="00D9488A">
        <w:rPr>
          <w:rFonts w:asciiTheme="minorHAnsi" w:hAnsiTheme="minorHAnsi"/>
        </w:rPr>
        <w:t xml:space="preserve"> </w:t>
      </w:r>
      <w:r w:rsidRPr="00C02634">
        <w:rPr>
          <w:rFonts w:asciiTheme="minorHAnsi" w:hAnsiTheme="minorHAnsi"/>
          <w:lang w:val="bs-Latn-BA"/>
        </w:rPr>
        <w:t>Direkti</w:t>
      </w:r>
      <w:r>
        <w:rPr>
          <w:rFonts w:asciiTheme="minorHAnsi" w:hAnsiTheme="minorHAnsi"/>
          <w:lang w:val="bs-Latn-BA"/>
        </w:rPr>
        <w:t>va Vijeća 96/29/Euratom od 13. maja</w:t>
      </w:r>
      <w:r w:rsidRPr="00C02634">
        <w:rPr>
          <w:rFonts w:asciiTheme="minorHAnsi" w:hAnsiTheme="minorHAnsi"/>
          <w:lang w:val="bs-Latn-BA"/>
        </w:rPr>
        <w:t xml:space="preserve"> 1996. o utvrđivanju osnovnih sigurnosnih </w:t>
      </w:r>
      <w:r>
        <w:rPr>
          <w:rFonts w:asciiTheme="minorHAnsi" w:hAnsiTheme="minorHAnsi"/>
          <w:lang w:val="bs-Latn-BA"/>
        </w:rPr>
        <w:t>standarda</w:t>
      </w:r>
      <w:r w:rsidRPr="00C02634">
        <w:rPr>
          <w:rFonts w:asciiTheme="minorHAnsi" w:hAnsiTheme="minorHAnsi"/>
          <w:lang w:val="bs-Latn-BA"/>
        </w:rPr>
        <w:t xml:space="preserve"> za zaštitu zdravlja </w:t>
      </w:r>
      <w:r>
        <w:rPr>
          <w:rFonts w:asciiTheme="minorHAnsi" w:hAnsiTheme="minorHAnsi"/>
          <w:lang w:val="bs-Latn-BA"/>
        </w:rPr>
        <w:t>zaposlenih</w:t>
      </w:r>
      <w:r w:rsidRPr="00C02634">
        <w:rPr>
          <w:rFonts w:asciiTheme="minorHAnsi" w:hAnsiTheme="minorHAnsi"/>
          <w:lang w:val="bs-Latn-BA"/>
        </w:rPr>
        <w:t xml:space="preserve"> i stanovništva od opasnosti</w:t>
      </w:r>
      <w:r w:rsidR="00BC7820">
        <w:rPr>
          <w:rFonts w:asciiTheme="minorHAnsi" w:hAnsiTheme="minorHAnsi"/>
          <w:lang w:val="bs-Latn-BA"/>
        </w:rPr>
        <w:t xml:space="preserve"> koje potiču</w:t>
      </w:r>
      <w:r w:rsidRPr="00C02634">
        <w:rPr>
          <w:rFonts w:asciiTheme="minorHAnsi" w:hAnsiTheme="minorHAnsi"/>
          <w:lang w:val="bs-Latn-BA"/>
        </w:rPr>
        <w:t xml:space="preserve"> od </w:t>
      </w:r>
      <w:r>
        <w:rPr>
          <w:rFonts w:asciiTheme="minorHAnsi" w:hAnsiTheme="minorHAnsi"/>
          <w:lang w:val="bs-Latn-BA"/>
        </w:rPr>
        <w:t>j</w:t>
      </w:r>
      <w:r w:rsidRPr="00C02634">
        <w:rPr>
          <w:rFonts w:asciiTheme="minorHAnsi" w:hAnsiTheme="minorHAnsi"/>
          <w:lang w:val="bs-Latn-BA"/>
        </w:rPr>
        <w:t>onizirajućeg zračenja (</w:t>
      </w:r>
      <w:r w:rsidRPr="007A64C0">
        <w:rPr>
          <w:rFonts w:asciiTheme="minorHAnsi" w:hAnsiTheme="minorHAnsi"/>
        </w:rPr>
        <w:t>„Službeni list EU”, broj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L</w:t>
      </w:r>
      <w:r w:rsidRPr="00383FA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159</w:t>
      </w:r>
      <w:r w:rsidRPr="00383FAF">
        <w:rPr>
          <w:rFonts w:asciiTheme="minorHAnsi" w:eastAsia="Times New Roman" w:hAnsiTheme="minorHAnsi" w:cs="Times New Roman"/>
          <w:lang w:eastAsia="en-GB"/>
        </w:rPr>
        <w:t>, 2</w:t>
      </w:r>
      <w:r>
        <w:rPr>
          <w:rFonts w:asciiTheme="minorHAnsi" w:eastAsia="Times New Roman" w:hAnsiTheme="minorHAnsi" w:cs="Times New Roman"/>
          <w:lang w:eastAsia="en-GB"/>
        </w:rPr>
        <w:t>9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6</w:t>
      </w:r>
      <w:r w:rsidRPr="00383FAF">
        <w:rPr>
          <w:rFonts w:asciiTheme="minorHAnsi" w:eastAsia="Times New Roman" w:hAnsiTheme="minorHAnsi" w:cs="Times New Roman"/>
          <w:lang w:eastAsia="en-GB"/>
        </w:rPr>
        <w:t>.</w:t>
      </w:r>
      <w:r>
        <w:rPr>
          <w:rFonts w:asciiTheme="minorHAnsi" w:eastAsia="Times New Roman" w:hAnsiTheme="minorHAnsi" w:cs="Times New Roman"/>
          <w:lang w:eastAsia="en-GB"/>
        </w:rPr>
        <w:t>1996</w:t>
      </w:r>
      <w:r w:rsidRPr="00383FAF">
        <w:rPr>
          <w:rFonts w:asciiTheme="minorHAnsi" w:eastAsia="Times New Roman" w:hAnsiTheme="minorHAnsi" w:cs="Times New Roman"/>
          <w:lang w:eastAsia="en-GB"/>
        </w:rPr>
        <w:t>., str. 1</w:t>
      </w:r>
      <w:r w:rsidRPr="00C02634">
        <w:rPr>
          <w:rFonts w:asciiTheme="minorHAnsi" w:hAnsiTheme="minorHAnsi"/>
          <w:lang w:val="bs-Latn-BA"/>
        </w:rPr>
        <w:t>)</w:t>
      </w:r>
    </w:p>
  </w:footnote>
  <w:footnote w:id="10">
    <w:p w:rsidR="00687EEC" w:rsidRPr="00687EEC" w:rsidRDefault="00687EEC" w:rsidP="00687EEC">
      <w:pPr>
        <w:jc w:val="both"/>
        <w:rPr>
          <w:rFonts w:asciiTheme="minorHAnsi" w:eastAsia="Times New Roman" w:hAnsiTheme="minorHAnsi" w:cs="Times New Roman"/>
          <w:szCs w:val="20"/>
          <w:lang w:val="bs-Latn-BA" w:eastAsia="en-GB"/>
        </w:rPr>
      </w:pPr>
      <w:r w:rsidRPr="00687EEC">
        <w:rPr>
          <w:rStyle w:val="FootnoteReference"/>
          <w:rFonts w:asciiTheme="minorHAnsi" w:hAnsiTheme="minorHAnsi"/>
        </w:rPr>
        <w:footnoteRef/>
      </w:r>
      <w:r w:rsidRPr="00687EEC">
        <w:rPr>
          <w:rFonts w:asciiTheme="minorHAnsi" w:hAnsiTheme="minorHAnsi"/>
        </w:rPr>
        <w:t xml:space="preserve"> </w:t>
      </w:r>
      <w:r w:rsidR="00FF0879">
        <w:rPr>
          <w:rFonts w:asciiTheme="minorHAnsi" w:hAnsiTheme="minorHAnsi"/>
        </w:rPr>
        <w:t>U odgovarajućoj situaciji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>, ukupnu beta aktivnost može zamijeniti rezidualna beta aktivnost nakon oduzimanja koncentracije aktivnosti K-40.</w:t>
      </w:r>
    </w:p>
    <w:p w:rsidR="00687EEC" w:rsidRPr="00687EEC" w:rsidRDefault="00687EEC">
      <w:pPr>
        <w:pStyle w:val="FootnoteText"/>
        <w:rPr>
          <w:lang w:val="bs-Latn-BA"/>
        </w:rPr>
      </w:pPr>
    </w:p>
  </w:footnote>
  <w:footnote w:id="11">
    <w:p w:rsidR="00687EEC" w:rsidRPr="00687EEC" w:rsidRDefault="00687EEC" w:rsidP="00687EEC">
      <w:pPr>
        <w:jc w:val="both"/>
        <w:rPr>
          <w:lang w:val="bs-Latn-BA"/>
        </w:rPr>
      </w:pPr>
      <w:r w:rsidRPr="00687EEC">
        <w:rPr>
          <w:rStyle w:val="FootnoteReference"/>
          <w:rFonts w:asciiTheme="minorHAnsi" w:hAnsiTheme="minorHAnsi"/>
        </w:rPr>
        <w:footnoteRef/>
      </w:r>
      <w:r w:rsidRPr="00687EEC">
        <w:rPr>
          <w:rFonts w:asciiTheme="minorHAnsi" w:hAnsiTheme="minorHAnsi"/>
        </w:rPr>
        <w:t xml:space="preserve"> 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Ova tabela uključuje vrijednosti za najčešće prirodne i </w:t>
      </w:r>
      <w:r>
        <w:rPr>
          <w:rFonts w:asciiTheme="minorHAnsi" w:eastAsia="Times New Roman" w:hAnsiTheme="minorHAnsi" w:cs="Times New Roman"/>
          <w:szCs w:val="20"/>
          <w:lang w:val="bs-Latn-BA" w:eastAsia="en-GB"/>
        </w:rPr>
        <w:t>vještačke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 radionuklide; ovo su precizne vrijednosti izračuna</w:t>
      </w:r>
      <w:r w:rsidR="00204288">
        <w:rPr>
          <w:rFonts w:asciiTheme="minorHAnsi" w:eastAsia="Times New Roman" w:hAnsiTheme="minorHAnsi" w:cs="Times New Roman"/>
          <w:szCs w:val="20"/>
          <w:lang w:val="bs-Latn-BA" w:eastAsia="en-GB"/>
        </w:rPr>
        <w:t>t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e za dozu od 0,1 mSv </w:t>
      </w:r>
      <w:r w:rsidR="006E0522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uz 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godišnji unos od 730 litara i korištenjem koeficijenata doza utvrđenih u </w:t>
      </w:r>
      <w:r w:rsidR="006F68FD"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tabeli A 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>Aneks</w:t>
      </w:r>
      <w:r w:rsidR="006F68FD">
        <w:rPr>
          <w:rFonts w:asciiTheme="minorHAnsi" w:eastAsia="Times New Roman" w:hAnsiTheme="minorHAnsi" w:cs="Times New Roman"/>
          <w:szCs w:val="20"/>
          <w:lang w:val="bs-Latn-BA" w:eastAsia="en-GB"/>
        </w:rPr>
        <w:t>a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 III Direktive 96/29/Euratom; izvedene koncentracije za druge radionuklide se</w:t>
      </w:r>
      <w:r w:rsidR="00B449BA" w:rsidRPr="00B449BA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 </w:t>
      </w:r>
      <w:r w:rsidR="00B449BA"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>mogu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 izračunati na istoj osnovi</w:t>
      </w:r>
      <w:r w:rsidR="00B449BA">
        <w:rPr>
          <w:rFonts w:asciiTheme="minorHAnsi" w:eastAsia="Times New Roman" w:hAnsiTheme="minorHAnsi" w:cs="Times New Roman"/>
          <w:szCs w:val="20"/>
          <w:lang w:val="bs-Latn-BA" w:eastAsia="en-GB"/>
        </w:rPr>
        <w:t>, a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 vrijednosti se mogu ažurirati na osnovu novijih informacija koje su </w:t>
      </w:r>
      <w:r w:rsidR="00204288"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>priznal</w:t>
      </w:r>
      <w:r w:rsidR="00204288">
        <w:rPr>
          <w:rFonts w:asciiTheme="minorHAnsi" w:eastAsia="Times New Roman" w:hAnsiTheme="minorHAnsi" w:cs="Times New Roman"/>
          <w:szCs w:val="20"/>
          <w:lang w:val="bs-Latn-BA" w:eastAsia="en-GB"/>
        </w:rPr>
        <w:t>i</w:t>
      </w:r>
      <w:r w:rsidR="00204288"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 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>nadležni organi države članice.</w:t>
      </w:r>
    </w:p>
  </w:footnote>
  <w:footnote w:id="12">
    <w:p w:rsidR="00687EEC" w:rsidRPr="00687EEC" w:rsidRDefault="00687EEC" w:rsidP="00687EEC">
      <w:pPr>
        <w:rPr>
          <w:rFonts w:asciiTheme="minorHAnsi" w:hAnsiTheme="minorHAnsi"/>
          <w:lang w:val="bs-Latn-BA"/>
        </w:rPr>
      </w:pPr>
      <w:r w:rsidRPr="00687EEC">
        <w:rPr>
          <w:rStyle w:val="FootnoteReference"/>
          <w:rFonts w:asciiTheme="minorHAnsi" w:hAnsiTheme="minorHAnsi"/>
        </w:rPr>
        <w:footnoteRef/>
      </w:r>
      <w:r w:rsidRPr="00687EEC">
        <w:rPr>
          <w:rFonts w:asciiTheme="minorHAnsi" w:hAnsiTheme="minorHAnsi"/>
        </w:rPr>
        <w:t xml:space="preserve"> 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>Ova tab</w:t>
      </w:r>
      <w:r>
        <w:rPr>
          <w:rFonts w:asciiTheme="minorHAnsi" w:eastAsia="Times New Roman" w:hAnsiTheme="minorHAnsi" w:cs="Times New Roman"/>
          <w:szCs w:val="20"/>
          <w:lang w:val="bs-Latn-BA" w:eastAsia="en-GB"/>
        </w:rPr>
        <w:t>ela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 uzima u obzir samo radiološka svojstva urana, ne i njegovu </w:t>
      </w:r>
      <w:r>
        <w:rPr>
          <w:rFonts w:asciiTheme="minorHAnsi" w:eastAsia="Times New Roman" w:hAnsiTheme="minorHAnsi" w:cs="Times New Roman"/>
          <w:szCs w:val="20"/>
          <w:lang w:val="bs-Latn-BA" w:eastAsia="en-GB"/>
        </w:rPr>
        <w:t>h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>emijsku toksičnost.</w:t>
      </w:r>
    </w:p>
  </w:footnote>
  <w:footnote w:id="13">
    <w:p w:rsidR="00687EEC" w:rsidRPr="00687EEC" w:rsidRDefault="00687EEC" w:rsidP="00687EEC">
      <w:pPr>
        <w:rPr>
          <w:rFonts w:asciiTheme="minorHAnsi" w:eastAsia="Times New Roman" w:hAnsiTheme="minorHAnsi" w:cs="Times New Roman"/>
          <w:szCs w:val="20"/>
          <w:lang w:val="bs-Latn-BA" w:eastAsia="en-GB"/>
        </w:rPr>
      </w:pPr>
      <w:r w:rsidRPr="00687EEC">
        <w:rPr>
          <w:rStyle w:val="FootnoteReference"/>
          <w:rFonts w:asciiTheme="minorHAnsi" w:hAnsiTheme="minorHAnsi"/>
        </w:rPr>
        <w:footnoteRef/>
      </w:r>
      <w:r w:rsidRPr="00687EEC">
        <w:rPr>
          <w:rFonts w:asciiTheme="minorHAnsi" w:hAnsiTheme="minorHAnsi"/>
        </w:rPr>
        <w:t xml:space="preserve"> 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>Ova tab</w:t>
      </w:r>
      <w:r>
        <w:rPr>
          <w:rFonts w:asciiTheme="minorHAnsi" w:eastAsia="Times New Roman" w:hAnsiTheme="minorHAnsi" w:cs="Times New Roman"/>
          <w:szCs w:val="20"/>
          <w:lang w:val="bs-Latn-BA" w:eastAsia="en-GB"/>
        </w:rPr>
        <w:t>ela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 xml:space="preserve"> uzima u obzir samo radiološka svojstva urana, ne i njegovu </w:t>
      </w:r>
      <w:r>
        <w:rPr>
          <w:rFonts w:asciiTheme="minorHAnsi" w:eastAsia="Times New Roman" w:hAnsiTheme="minorHAnsi" w:cs="Times New Roman"/>
          <w:szCs w:val="20"/>
          <w:lang w:val="bs-Latn-BA" w:eastAsia="en-GB"/>
        </w:rPr>
        <w:t>h</w:t>
      </w:r>
      <w:r w:rsidRPr="00687EEC">
        <w:rPr>
          <w:rFonts w:asciiTheme="minorHAnsi" w:eastAsia="Times New Roman" w:hAnsiTheme="minorHAnsi" w:cs="Times New Roman"/>
          <w:szCs w:val="20"/>
          <w:lang w:val="bs-Latn-BA" w:eastAsia="en-GB"/>
        </w:rPr>
        <w:t>emijsku toksičnost.</w:t>
      </w:r>
    </w:p>
    <w:p w:rsidR="00687EEC" w:rsidRPr="00687EEC" w:rsidRDefault="00687EEC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1050"/>
    <w:multiLevelType w:val="hybridMultilevel"/>
    <w:tmpl w:val="E3E09122"/>
    <w:lvl w:ilvl="0" w:tplc="E2B6DA6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49A2E67"/>
    <w:multiLevelType w:val="hybridMultilevel"/>
    <w:tmpl w:val="18DAA4D4"/>
    <w:lvl w:ilvl="0" w:tplc="78AAB79C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5117F1C"/>
    <w:multiLevelType w:val="hybridMultilevel"/>
    <w:tmpl w:val="E49AA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27A99"/>
    <w:multiLevelType w:val="hybridMultilevel"/>
    <w:tmpl w:val="18DAA4D4"/>
    <w:lvl w:ilvl="0" w:tplc="78AAB79C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16DC1DC6"/>
    <w:multiLevelType w:val="hybridMultilevel"/>
    <w:tmpl w:val="3A22B78C"/>
    <w:lvl w:ilvl="0" w:tplc="0809000F">
      <w:start w:val="1"/>
      <w:numFmt w:val="decimal"/>
      <w:lvlText w:val="%1."/>
      <w:lvlJc w:val="left"/>
      <w:pPr>
        <w:ind w:left="722" w:hanging="360"/>
      </w:p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26E01DF9"/>
    <w:multiLevelType w:val="hybridMultilevel"/>
    <w:tmpl w:val="34E839CE"/>
    <w:lvl w:ilvl="0" w:tplc="78AAB79C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2AE55689"/>
    <w:multiLevelType w:val="hybridMultilevel"/>
    <w:tmpl w:val="3A22B78C"/>
    <w:lvl w:ilvl="0" w:tplc="0809000F">
      <w:start w:val="1"/>
      <w:numFmt w:val="decimal"/>
      <w:lvlText w:val="%1."/>
      <w:lvlJc w:val="left"/>
      <w:pPr>
        <w:ind w:left="722" w:hanging="360"/>
      </w:p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35413A1D"/>
    <w:multiLevelType w:val="hybridMultilevel"/>
    <w:tmpl w:val="34E839CE"/>
    <w:lvl w:ilvl="0" w:tplc="78AAB79C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3BB26B9A"/>
    <w:multiLevelType w:val="hybridMultilevel"/>
    <w:tmpl w:val="34E839CE"/>
    <w:lvl w:ilvl="0" w:tplc="78AAB79C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42935063"/>
    <w:multiLevelType w:val="hybridMultilevel"/>
    <w:tmpl w:val="3A22B78C"/>
    <w:lvl w:ilvl="0" w:tplc="0809000F">
      <w:start w:val="1"/>
      <w:numFmt w:val="decimal"/>
      <w:lvlText w:val="%1."/>
      <w:lvlJc w:val="left"/>
      <w:pPr>
        <w:ind w:left="722" w:hanging="360"/>
      </w:p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575236A1"/>
    <w:multiLevelType w:val="hybridMultilevel"/>
    <w:tmpl w:val="18DAA4D4"/>
    <w:lvl w:ilvl="0" w:tplc="78AAB79C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58F217BB"/>
    <w:multiLevelType w:val="hybridMultilevel"/>
    <w:tmpl w:val="34E839CE"/>
    <w:lvl w:ilvl="0" w:tplc="78AAB79C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5D0313CC"/>
    <w:multiLevelType w:val="hybridMultilevel"/>
    <w:tmpl w:val="3A22B78C"/>
    <w:lvl w:ilvl="0" w:tplc="0809000F">
      <w:start w:val="1"/>
      <w:numFmt w:val="decimal"/>
      <w:lvlText w:val="%1."/>
      <w:lvlJc w:val="left"/>
      <w:pPr>
        <w:ind w:left="722" w:hanging="360"/>
      </w:p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5D612D67"/>
    <w:multiLevelType w:val="hybridMultilevel"/>
    <w:tmpl w:val="E4FAF7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E3668"/>
    <w:multiLevelType w:val="hybridMultilevel"/>
    <w:tmpl w:val="18DAA4D4"/>
    <w:lvl w:ilvl="0" w:tplc="78AAB79C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6E6C6C64"/>
    <w:multiLevelType w:val="hybridMultilevel"/>
    <w:tmpl w:val="20EA36D2"/>
    <w:lvl w:ilvl="0" w:tplc="F9C49496">
      <w:start w:val="1"/>
      <w:numFmt w:val="decimal"/>
      <w:lvlText w:val="(%1)"/>
      <w:lvlJc w:val="left"/>
      <w:pPr>
        <w:ind w:left="720" w:hanging="360"/>
      </w:pPr>
      <w:rPr>
        <w:rFonts w:ascii="Verdana" w:eastAsia="Cambria" w:hAnsi="Verdana" w:hint="default"/>
        <w:color w:val="1A171C"/>
        <w:spacing w:val="0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24D6"/>
    <w:multiLevelType w:val="hybridMultilevel"/>
    <w:tmpl w:val="8B827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323BF"/>
    <w:multiLevelType w:val="hybridMultilevel"/>
    <w:tmpl w:val="34E839CE"/>
    <w:lvl w:ilvl="0" w:tplc="78AAB79C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>
    <w:nsid w:val="7D3B0285"/>
    <w:multiLevelType w:val="hybridMultilevel"/>
    <w:tmpl w:val="34E839CE"/>
    <w:lvl w:ilvl="0" w:tplc="78AAB79C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7DC0090E"/>
    <w:multiLevelType w:val="hybridMultilevel"/>
    <w:tmpl w:val="3A22B78C"/>
    <w:lvl w:ilvl="0" w:tplc="0809000F">
      <w:start w:val="1"/>
      <w:numFmt w:val="decimal"/>
      <w:lvlText w:val="%1."/>
      <w:lvlJc w:val="left"/>
      <w:pPr>
        <w:ind w:left="722" w:hanging="360"/>
      </w:p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4"/>
  </w:num>
  <w:num w:numId="9">
    <w:abstractNumId w:val="18"/>
  </w:num>
  <w:num w:numId="10">
    <w:abstractNumId w:val="17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4"/>
  </w:num>
  <w:num w:numId="16">
    <w:abstractNumId w:val="9"/>
  </w:num>
  <w:num w:numId="17">
    <w:abstractNumId w:val="5"/>
  </w:num>
  <w:num w:numId="18">
    <w:abstractNumId w:val="13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EA5"/>
    <w:rsid w:val="0000437A"/>
    <w:rsid w:val="00006EA5"/>
    <w:rsid w:val="000400CD"/>
    <w:rsid w:val="000565ED"/>
    <w:rsid w:val="0006144F"/>
    <w:rsid w:val="00063930"/>
    <w:rsid w:val="00070AA2"/>
    <w:rsid w:val="00074B84"/>
    <w:rsid w:val="000A1B6B"/>
    <w:rsid w:val="000B1544"/>
    <w:rsid w:val="000C1E97"/>
    <w:rsid w:val="000F4517"/>
    <w:rsid w:val="00101AC2"/>
    <w:rsid w:val="00113FC9"/>
    <w:rsid w:val="00117F4B"/>
    <w:rsid w:val="00130048"/>
    <w:rsid w:val="00134FBA"/>
    <w:rsid w:val="00145530"/>
    <w:rsid w:val="00146BCF"/>
    <w:rsid w:val="0015234E"/>
    <w:rsid w:val="00166A0A"/>
    <w:rsid w:val="0017046D"/>
    <w:rsid w:val="0017229F"/>
    <w:rsid w:val="00186E50"/>
    <w:rsid w:val="001B3F7F"/>
    <w:rsid w:val="001C68B0"/>
    <w:rsid w:val="001D6A47"/>
    <w:rsid w:val="001E7288"/>
    <w:rsid w:val="001E767C"/>
    <w:rsid w:val="00201D10"/>
    <w:rsid w:val="00204288"/>
    <w:rsid w:val="002069CC"/>
    <w:rsid w:val="00217C2F"/>
    <w:rsid w:val="002230C9"/>
    <w:rsid w:val="002232C7"/>
    <w:rsid w:val="00230936"/>
    <w:rsid w:val="00251FCD"/>
    <w:rsid w:val="0026178F"/>
    <w:rsid w:val="002676D8"/>
    <w:rsid w:val="00274C45"/>
    <w:rsid w:val="00274F57"/>
    <w:rsid w:val="00276929"/>
    <w:rsid w:val="002965CD"/>
    <w:rsid w:val="002A1724"/>
    <w:rsid w:val="002A2DFA"/>
    <w:rsid w:val="002A64A6"/>
    <w:rsid w:val="002B3C72"/>
    <w:rsid w:val="002B3FFB"/>
    <w:rsid w:val="002B4384"/>
    <w:rsid w:val="002D76BB"/>
    <w:rsid w:val="002E2C69"/>
    <w:rsid w:val="002F1101"/>
    <w:rsid w:val="002F2F22"/>
    <w:rsid w:val="002F3A7E"/>
    <w:rsid w:val="0030429F"/>
    <w:rsid w:val="003206D0"/>
    <w:rsid w:val="0032532C"/>
    <w:rsid w:val="00326B52"/>
    <w:rsid w:val="00333EB4"/>
    <w:rsid w:val="00342881"/>
    <w:rsid w:val="00354423"/>
    <w:rsid w:val="003544E1"/>
    <w:rsid w:val="00381458"/>
    <w:rsid w:val="00393D22"/>
    <w:rsid w:val="00396EAD"/>
    <w:rsid w:val="003A125C"/>
    <w:rsid w:val="003A660B"/>
    <w:rsid w:val="003A792E"/>
    <w:rsid w:val="003B43A3"/>
    <w:rsid w:val="003B783C"/>
    <w:rsid w:val="003E4043"/>
    <w:rsid w:val="003F4432"/>
    <w:rsid w:val="00402557"/>
    <w:rsid w:val="004036C7"/>
    <w:rsid w:val="00421975"/>
    <w:rsid w:val="00422122"/>
    <w:rsid w:val="00424EFD"/>
    <w:rsid w:val="00432287"/>
    <w:rsid w:val="0044714C"/>
    <w:rsid w:val="0046336D"/>
    <w:rsid w:val="00487F11"/>
    <w:rsid w:val="00493A8E"/>
    <w:rsid w:val="004A0F14"/>
    <w:rsid w:val="004B15F1"/>
    <w:rsid w:val="004E067B"/>
    <w:rsid w:val="004F1AEE"/>
    <w:rsid w:val="004F35DF"/>
    <w:rsid w:val="00517694"/>
    <w:rsid w:val="005208B7"/>
    <w:rsid w:val="00523CB0"/>
    <w:rsid w:val="00525C02"/>
    <w:rsid w:val="005323E5"/>
    <w:rsid w:val="005445CD"/>
    <w:rsid w:val="005449D4"/>
    <w:rsid w:val="005451FF"/>
    <w:rsid w:val="005617C5"/>
    <w:rsid w:val="00574B43"/>
    <w:rsid w:val="00585CE1"/>
    <w:rsid w:val="005C27B6"/>
    <w:rsid w:val="005C369B"/>
    <w:rsid w:val="005C5D69"/>
    <w:rsid w:val="005D0344"/>
    <w:rsid w:val="005D5D04"/>
    <w:rsid w:val="005F4897"/>
    <w:rsid w:val="005F4B0F"/>
    <w:rsid w:val="005F52A9"/>
    <w:rsid w:val="005F5AC1"/>
    <w:rsid w:val="005F5CDC"/>
    <w:rsid w:val="00600202"/>
    <w:rsid w:val="00611FDB"/>
    <w:rsid w:val="00625075"/>
    <w:rsid w:val="00625D9E"/>
    <w:rsid w:val="006463BF"/>
    <w:rsid w:val="00660182"/>
    <w:rsid w:val="00670D42"/>
    <w:rsid w:val="00675A83"/>
    <w:rsid w:val="00687EEC"/>
    <w:rsid w:val="0069445A"/>
    <w:rsid w:val="00696627"/>
    <w:rsid w:val="006D02F9"/>
    <w:rsid w:val="006D2DFC"/>
    <w:rsid w:val="006E0522"/>
    <w:rsid w:val="006E6A02"/>
    <w:rsid w:val="006F451C"/>
    <w:rsid w:val="006F5CD8"/>
    <w:rsid w:val="006F68FD"/>
    <w:rsid w:val="0072005A"/>
    <w:rsid w:val="0075089C"/>
    <w:rsid w:val="00767D44"/>
    <w:rsid w:val="00783D96"/>
    <w:rsid w:val="00785C1B"/>
    <w:rsid w:val="007951E8"/>
    <w:rsid w:val="007E1F2D"/>
    <w:rsid w:val="007E2A60"/>
    <w:rsid w:val="0080126D"/>
    <w:rsid w:val="00810479"/>
    <w:rsid w:val="0081439B"/>
    <w:rsid w:val="00817E0E"/>
    <w:rsid w:val="00830599"/>
    <w:rsid w:val="00843289"/>
    <w:rsid w:val="008450B8"/>
    <w:rsid w:val="00855A3D"/>
    <w:rsid w:val="00857CBC"/>
    <w:rsid w:val="00857E5A"/>
    <w:rsid w:val="00891410"/>
    <w:rsid w:val="00897F4F"/>
    <w:rsid w:val="008A42A4"/>
    <w:rsid w:val="008D21DD"/>
    <w:rsid w:val="008D47C6"/>
    <w:rsid w:val="008E0C98"/>
    <w:rsid w:val="008E58D0"/>
    <w:rsid w:val="008F3737"/>
    <w:rsid w:val="00900ADC"/>
    <w:rsid w:val="00903797"/>
    <w:rsid w:val="00922BC2"/>
    <w:rsid w:val="0093519A"/>
    <w:rsid w:val="0093634B"/>
    <w:rsid w:val="0094251F"/>
    <w:rsid w:val="00956FBA"/>
    <w:rsid w:val="00961F6A"/>
    <w:rsid w:val="00962417"/>
    <w:rsid w:val="00962A4E"/>
    <w:rsid w:val="00970B12"/>
    <w:rsid w:val="00982AB7"/>
    <w:rsid w:val="00982B03"/>
    <w:rsid w:val="00992507"/>
    <w:rsid w:val="00993F9C"/>
    <w:rsid w:val="009B62B0"/>
    <w:rsid w:val="009C141D"/>
    <w:rsid w:val="009C199A"/>
    <w:rsid w:val="009D68EC"/>
    <w:rsid w:val="009D7030"/>
    <w:rsid w:val="009E6482"/>
    <w:rsid w:val="009F2F4F"/>
    <w:rsid w:val="009F4795"/>
    <w:rsid w:val="00A03741"/>
    <w:rsid w:val="00A165CA"/>
    <w:rsid w:val="00A24B6F"/>
    <w:rsid w:val="00A31400"/>
    <w:rsid w:val="00A32E76"/>
    <w:rsid w:val="00A44AE0"/>
    <w:rsid w:val="00A52F37"/>
    <w:rsid w:val="00A65155"/>
    <w:rsid w:val="00A70C8F"/>
    <w:rsid w:val="00A72566"/>
    <w:rsid w:val="00A75769"/>
    <w:rsid w:val="00A75F92"/>
    <w:rsid w:val="00A80924"/>
    <w:rsid w:val="00A87173"/>
    <w:rsid w:val="00AD0C25"/>
    <w:rsid w:val="00AD3C8C"/>
    <w:rsid w:val="00B03832"/>
    <w:rsid w:val="00B107E9"/>
    <w:rsid w:val="00B1231F"/>
    <w:rsid w:val="00B3169D"/>
    <w:rsid w:val="00B449BA"/>
    <w:rsid w:val="00B631A1"/>
    <w:rsid w:val="00B774B6"/>
    <w:rsid w:val="00B77A3D"/>
    <w:rsid w:val="00B9246A"/>
    <w:rsid w:val="00BA173E"/>
    <w:rsid w:val="00BC15B4"/>
    <w:rsid w:val="00BC7820"/>
    <w:rsid w:val="00BD2495"/>
    <w:rsid w:val="00BF4746"/>
    <w:rsid w:val="00C02634"/>
    <w:rsid w:val="00C14222"/>
    <w:rsid w:val="00C279F7"/>
    <w:rsid w:val="00C534C0"/>
    <w:rsid w:val="00C62986"/>
    <w:rsid w:val="00C6455F"/>
    <w:rsid w:val="00C72387"/>
    <w:rsid w:val="00C96D4F"/>
    <w:rsid w:val="00CA019F"/>
    <w:rsid w:val="00CA731F"/>
    <w:rsid w:val="00CB0DF4"/>
    <w:rsid w:val="00CC6B8C"/>
    <w:rsid w:val="00CE4A6D"/>
    <w:rsid w:val="00D110AB"/>
    <w:rsid w:val="00D3541D"/>
    <w:rsid w:val="00D43259"/>
    <w:rsid w:val="00D70D9A"/>
    <w:rsid w:val="00D726FB"/>
    <w:rsid w:val="00D84AF7"/>
    <w:rsid w:val="00D90DB3"/>
    <w:rsid w:val="00D9488A"/>
    <w:rsid w:val="00D94DEA"/>
    <w:rsid w:val="00DA3447"/>
    <w:rsid w:val="00DA542C"/>
    <w:rsid w:val="00DB36DD"/>
    <w:rsid w:val="00DB4669"/>
    <w:rsid w:val="00DE752A"/>
    <w:rsid w:val="00E146DE"/>
    <w:rsid w:val="00E24D72"/>
    <w:rsid w:val="00E27073"/>
    <w:rsid w:val="00E55B10"/>
    <w:rsid w:val="00E7061F"/>
    <w:rsid w:val="00E76F1F"/>
    <w:rsid w:val="00EB6CC0"/>
    <w:rsid w:val="00EC0EA6"/>
    <w:rsid w:val="00F07CB0"/>
    <w:rsid w:val="00F31C25"/>
    <w:rsid w:val="00F359C6"/>
    <w:rsid w:val="00F432BA"/>
    <w:rsid w:val="00F43E98"/>
    <w:rsid w:val="00F5765A"/>
    <w:rsid w:val="00F77C0D"/>
    <w:rsid w:val="00F82256"/>
    <w:rsid w:val="00F8538C"/>
    <w:rsid w:val="00F957CC"/>
    <w:rsid w:val="00F960BF"/>
    <w:rsid w:val="00FB56E6"/>
    <w:rsid w:val="00FD3486"/>
    <w:rsid w:val="00FE331A"/>
    <w:rsid w:val="00FE658D"/>
    <w:rsid w:val="00FF0879"/>
    <w:rsid w:val="00F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29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normal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6EA5"/>
    <w:rPr>
      <w:color w:val="0000FF"/>
      <w:u w:val="single"/>
    </w:rPr>
  </w:style>
  <w:style w:type="character" w:customStyle="1" w:styleId="super">
    <w:name w:val="super"/>
    <w:basedOn w:val="DefaultParagraphFont"/>
    <w:rsid w:val="00006EA5"/>
  </w:style>
  <w:style w:type="paragraph" w:customStyle="1" w:styleId="ti-art">
    <w:name w:val="ti-art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i-art">
    <w:name w:val="sti-art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">
    <w:name w:val="italic"/>
    <w:basedOn w:val="DefaultParagraphFont"/>
    <w:rsid w:val="00006EA5"/>
  </w:style>
  <w:style w:type="paragraph" w:customStyle="1" w:styleId="signatory">
    <w:name w:val="signatory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-tbl">
    <w:name w:val="ti-tbl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006EA5"/>
  </w:style>
  <w:style w:type="paragraph" w:customStyle="1" w:styleId="tbl-hdr">
    <w:name w:val="tbl-hdr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l-txt">
    <w:name w:val="tbl-txt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l-num">
    <w:name w:val="tbl-num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-grseq-1">
    <w:name w:val="ti-grseq-1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b">
    <w:name w:val="sub"/>
    <w:basedOn w:val="DefaultParagraphFont"/>
    <w:rsid w:val="00006EA5"/>
  </w:style>
  <w:style w:type="paragraph" w:customStyle="1" w:styleId="center">
    <w:name w:val="center"/>
    <w:basedOn w:val="Normal"/>
    <w:rsid w:val="00006E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F3737"/>
    <w:pPr>
      <w:widowControl w:val="0"/>
    </w:pPr>
    <w:rPr>
      <w:rFonts w:ascii="Cambria" w:eastAsia="Cambria" w:hAnsi="Cambr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3737"/>
    <w:rPr>
      <w:rFonts w:ascii="Cambria" w:eastAsia="Cambria" w:hAnsi="Cambria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1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D1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D10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10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24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263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634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634"/>
    <w:rPr>
      <w:vertAlign w:val="superscript"/>
    </w:rPr>
  </w:style>
  <w:style w:type="table" w:styleId="TableGrid">
    <w:name w:val="Table Grid"/>
    <w:basedOn w:val="TableNormal"/>
    <w:uiPriority w:val="59"/>
    <w:rsid w:val="002B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A1B6B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HR/TXT/HTML/?uri=CELEX:32013L0051&amp;from=HR" TargetMode="External"/><Relationship Id="rId13" Type="http://schemas.openxmlformats.org/officeDocument/2006/relationships/hyperlink" Target="http://eur-lex.europa.eu/legal-content/HR/TXT/HTML/?uri=CELEX:32013L0051&amp;from=HR" TargetMode="External"/><Relationship Id="rId18" Type="http://schemas.openxmlformats.org/officeDocument/2006/relationships/hyperlink" Target="http://eur-lex.europa.eu/legal-content/HR/TXT/HTML/?uri=CELEX:32013L0051&amp;from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HR/TXT/HTML/?uri=CELEX:32013L0051&amp;from=HR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HR/TXT/HTML/?uri=CELEX:32013L0051&amp;from=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HR/TXT/HTML/?uri=CELEX:32013L0051&amp;from=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HR/TXT/HTML/?uri=CELEX:32013L0051&amp;from=HR" TargetMode="External"/><Relationship Id="rId10" Type="http://schemas.openxmlformats.org/officeDocument/2006/relationships/hyperlink" Target="http://eur-lex.europa.eu/legal-content/HR/TXT/HTML/?uri=CELEX:32013L0051&amp;from=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HR/TXT/HTML/?uri=CELEX:32013L0051&amp;from=HR" TargetMode="External"/><Relationship Id="rId14" Type="http://schemas.openxmlformats.org/officeDocument/2006/relationships/hyperlink" Target="http://eur-lex.europa.eu/legal-content/HR/TXT/HTML/?uri=CELEX:32013L0051&amp;from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A6CB6-8B43-40A0-8DBE-2AAD66C5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13</Pages>
  <Words>3797</Words>
  <Characters>22216</Characters>
  <Application>Microsoft Office Word</Application>
  <DocSecurity>0</DocSecurity>
  <Lines>740</Lines>
  <Paragraphs>282</Paragraphs>
  <ScaleCrop>false</ScaleCrop>
  <Company/>
  <LinksUpToDate>false</LinksUpToDate>
  <CharactersWithSpaces>25837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358</cp:revision>
  <cp:lastPrinted>2017-02-04T08:15:00Z</cp:lastPrinted>
  <dcterms:created xsi:type="dcterms:W3CDTF">2017-01-15T19:08:00Z</dcterms:created>
  <dcterms:modified xsi:type="dcterms:W3CDTF">2017-02-05T08:18:00Z</dcterms:modified>
</cp:coreProperties>
</file>